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exact"/>
        <w:ind w:firstLine="720" w:firstLineChars="200"/>
        <w:jc w:val="center"/>
        <w:rPr>
          <w:rFonts w:ascii="方正小标宋_GBK" w:hAnsi="黑体" w:eastAsia="方正小标宋_GBK"/>
          <w:b w:val="0"/>
          <w:bCs w:val="0"/>
          <w:kern w:val="2"/>
          <w:sz w:val="36"/>
          <w:szCs w:val="36"/>
        </w:rPr>
      </w:pPr>
      <w:r>
        <w:rPr>
          <w:rFonts w:hint="eastAsia" w:ascii="方正小标宋_GBK" w:hAnsi="黑体" w:eastAsia="方正小标宋_GBK"/>
          <w:b w:val="0"/>
          <w:bCs w:val="0"/>
          <w:kern w:val="2"/>
          <w:sz w:val="36"/>
          <w:szCs w:val="36"/>
        </w:rPr>
        <w:t>上海电机学院公务卡管理办法</w:t>
      </w:r>
    </w:p>
    <w:p>
      <w:pPr>
        <w:spacing w:line="480" w:lineRule="exact"/>
        <w:ind w:firstLine="560" w:firstLineChars="200"/>
        <w:jc w:val="center"/>
        <w:rPr>
          <w:rFonts w:ascii="黑体" w:hAnsi="黑体" w:eastAsia="黑体" w:cs="仿宋"/>
          <w:color w:val="000000"/>
          <w:sz w:val="28"/>
          <w:szCs w:val="28"/>
        </w:rPr>
      </w:pPr>
      <w:r>
        <w:rPr>
          <w:rFonts w:hint="eastAsia" w:ascii="黑体" w:hAnsi="黑体" w:eastAsia="黑体" w:cs="仿宋"/>
          <w:color w:val="000000"/>
          <w:sz w:val="28"/>
          <w:szCs w:val="28"/>
        </w:rPr>
        <w:t>第一章 总则</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第一条</w:t>
      </w:r>
      <w:r>
        <w:rPr>
          <w:rFonts w:hint="eastAsia" w:ascii="仿宋" w:hAnsi="仿宋" w:eastAsia="仿宋" w:cs="仿宋"/>
          <w:color w:val="000000"/>
          <w:sz w:val="28"/>
          <w:szCs w:val="28"/>
        </w:rPr>
        <w:t xml:space="preserve"> 为进一步做好学校财务管理工作，切实减少现金支付结算，提高公务支出使用透明度，根据《中共上海市委办公厅 上海市人民政府办公厅印发&lt;关于进一步完善公务卡制度切实减</w:t>
      </w:r>
      <w:bookmarkStart w:id="0" w:name="_GoBack"/>
      <w:bookmarkEnd w:id="0"/>
      <w:r>
        <w:rPr>
          <w:rFonts w:hint="eastAsia" w:ascii="仿宋" w:hAnsi="仿宋" w:eastAsia="仿宋" w:cs="仿宋"/>
          <w:color w:val="000000"/>
          <w:sz w:val="28"/>
          <w:szCs w:val="28"/>
        </w:rPr>
        <w:t>少现金使用的实施意见&gt;的通知》（沪委办发〔2016〕29号），结合我校内控制度建设要求，特制定本办法。</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第二条</w:t>
      </w:r>
      <w:r>
        <w:rPr>
          <w:rFonts w:hint="eastAsia" w:ascii="仿宋" w:hAnsi="仿宋" w:eastAsia="仿宋" w:cs="仿宋"/>
          <w:color w:val="000000"/>
          <w:sz w:val="28"/>
          <w:szCs w:val="28"/>
        </w:rPr>
        <w:t xml:space="preserve"> 公务卡是指财政预算单位工作人员持有的、主要用于日常公务支出和财务报销业务的银行</w:t>
      </w:r>
      <w:r>
        <w:fldChar w:fldCharType="begin"/>
      </w:r>
      <w:r>
        <w:instrText xml:space="preserve"> HYPERLINK "https://baike.baidu.com/item/%E8%B4%B7%E8%AE%B0%E5%8D%A1" \t "_blank" </w:instrText>
      </w:r>
      <w:r>
        <w:fldChar w:fldCharType="separate"/>
      </w:r>
      <w:r>
        <w:rPr>
          <w:rFonts w:hint="eastAsia" w:ascii="仿宋" w:hAnsi="仿宋" w:eastAsia="仿宋" w:cs="仿宋"/>
          <w:color w:val="000000"/>
          <w:sz w:val="28"/>
          <w:szCs w:val="28"/>
        </w:rPr>
        <w:t>贷记卡</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，具有一般信用卡的授信消费等共同属性，同时具有财政财务管理的独特属性。我校公务卡为中国银行贷记卡（信用卡）。</w:t>
      </w:r>
    </w:p>
    <w:p>
      <w:pPr>
        <w:pStyle w:val="4"/>
        <w:spacing w:line="480" w:lineRule="exact"/>
        <w:ind w:firstLine="560"/>
        <w:jc w:val="center"/>
        <w:rPr>
          <w:rFonts w:ascii="黑体" w:hAnsi="黑体" w:eastAsia="黑体" w:cs="仿宋"/>
          <w:color w:val="000000"/>
          <w:sz w:val="28"/>
          <w:szCs w:val="28"/>
        </w:rPr>
      </w:pPr>
      <w:r>
        <w:rPr>
          <w:rFonts w:hint="eastAsia" w:ascii="黑体" w:hAnsi="黑体" w:eastAsia="黑体" w:cs="仿宋"/>
          <w:color w:val="000000"/>
          <w:sz w:val="28"/>
          <w:szCs w:val="28"/>
        </w:rPr>
        <w:t>第二章  公务卡使用范围</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第三条</w:t>
      </w:r>
      <w:r>
        <w:rPr>
          <w:rFonts w:hint="eastAsia" w:ascii="仿宋" w:hAnsi="仿宋" w:eastAsia="仿宋" w:cs="仿宋"/>
          <w:color w:val="000000"/>
          <w:sz w:val="28"/>
          <w:szCs w:val="28"/>
        </w:rPr>
        <w:t xml:space="preserve"> 我校教职工从事公务活动发生的支出，均需严格执行《上海电机学院公务卡强制结算目录》（附表1），凡纳入强制结算目录内的公务支出（包括基本支出和项目支出），除支票、贷记凭证等转账支付方式外，必须使用公务卡结算。</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第四条</w:t>
      </w:r>
      <w:r>
        <w:rPr>
          <w:rFonts w:hint="eastAsia" w:ascii="仿宋" w:hAnsi="仿宋" w:eastAsia="仿宋" w:cs="仿宋"/>
          <w:color w:val="000000"/>
          <w:sz w:val="28"/>
          <w:szCs w:val="28"/>
        </w:rPr>
        <w:t xml:space="preserve"> 除纳入《上海电机学院现金结算目录（试行）》（附表2）范围的支出外，对符合规定发放给本校职工的课题费和补贴类资金、长期聘用人员的工资和津贴补贴等经费，讲课费等劳务报酬，困难或者病患职工、优抚对象或者特殊人群等的非一次性慰问、救济或者补贴支出，以及其他适合采取转账方式支付的支出，必须实行转账支付，不得使用现金。</w:t>
      </w:r>
    </w:p>
    <w:p>
      <w:pPr>
        <w:pStyle w:val="4"/>
        <w:spacing w:line="480" w:lineRule="exact"/>
        <w:ind w:firstLine="562"/>
        <w:rPr>
          <w:rFonts w:hint="eastAsia" w:ascii="仿宋" w:hAnsi="仿宋" w:eastAsia="宋体" w:cs="仿宋"/>
          <w:color w:val="000000"/>
          <w:sz w:val="28"/>
          <w:szCs w:val="28"/>
          <w:lang w:eastAsia="zh-CN"/>
        </w:rPr>
      </w:pPr>
      <w:r>
        <w:rPr>
          <w:rFonts w:hint="eastAsia" w:ascii="仿宋" w:hAnsi="仿宋" w:eastAsia="仿宋" w:cs="仿宋"/>
          <w:b/>
          <w:color w:val="000000"/>
          <w:sz w:val="28"/>
          <w:szCs w:val="28"/>
        </w:rPr>
        <w:t>第五条</w:t>
      </w:r>
      <w:r>
        <w:rPr>
          <w:rFonts w:hint="eastAsia" w:ascii="仿宋" w:hAnsi="仿宋" w:eastAsia="仿宋" w:cs="仿宋"/>
          <w:color w:val="000000"/>
          <w:sz w:val="28"/>
          <w:szCs w:val="28"/>
        </w:rPr>
        <w:t xml:space="preserve"> 为进一步建立健全内部报销和现金使用管理制度，我校教职工需选择有刷卡条件的商户购买商品或者服务，纳入《上海电机学院现金结算目录（试行）》的支出除外</w:t>
      </w:r>
      <w:r>
        <w:rPr>
          <w:rStyle w:val="12"/>
          <w:rFonts w:hint="eastAsia" w:ascii="Times New Roman" w:hAnsi="Times New Roman"/>
          <w:lang w:val="en-US" w:eastAsia="zh-CN"/>
        </w:rPr>
        <w:t>。</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第六条</w:t>
      </w:r>
      <w:r>
        <w:rPr>
          <w:rFonts w:hint="eastAsia" w:ascii="仿宋" w:hAnsi="仿宋" w:eastAsia="仿宋" w:cs="仿宋"/>
          <w:color w:val="000000"/>
          <w:sz w:val="28"/>
          <w:szCs w:val="28"/>
        </w:rPr>
        <w:t xml:space="preserve"> 我校在校研究生或大学生属于非工作人员，因不具备申办和使用公务卡条件，可以使用学校规定的学生缴费银行卡（借记卡）办理相关支付结算报销。业务范围限于大学生申请立项</w:t>
      </w:r>
      <w:r>
        <w:rPr>
          <w:rFonts w:hint="eastAsia" w:ascii="仿宋" w:hAnsi="仿宋" w:eastAsia="仿宋" w:cs="仿宋"/>
          <w:color w:val="000000"/>
          <w:sz w:val="28"/>
          <w:szCs w:val="28"/>
          <w:lang w:eastAsia="zh-CN"/>
        </w:rPr>
        <w:t>的</w:t>
      </w:r>
      <w:r>
        <w:rPr>
          <w:rFonts w:hint="eastAsia" w:ascii="仿宋" w:hAnsi="仿宋" w:eastAsia="仿宋" w:cs="仿宋"/>
          <w:color w:val="000000"/>
          <w:sz w:val="28"/>
          <w:szCs w:val="28"/>
        </w:rPr>
        <w:t>科技创新项目或课题研究</w:t>
      </w:r>
      <w:r>
        <w:rPr>
          <w:rFonts w:hint="eastAsia" w:ascii="仿宋" w:hAnsi="仿宋" w:eastAsia="仿宋" w:cs="仿宋"/>
          <w:color w:val="000000"/>
          <w:sz w:val="28"/>
          <w:szCs w:val="28"/>
          <w:lang w:eastAsia="zh-CN"/>
        </w:rPr>
        <w:t>项目</w:t>
      </w:r>
      <w:r>
        <w:rPr>
          <w:rFonts w:hint="eastAsia" w:ascii="仿宋" w:hAnsi="仿宋" w:eastAsia="仿宋" w:cs="仿宋"/>
          <w:color w:val="000000"/>
          <w:sz w:val="28"/>
          <w:szCs w:val="28"/>
        </w:rPr>
        <w:t>，以及学校规定由</w:t>
      </w:r>
      <w:r>
        <w:rPr>
          <w:rFonts w:hint="eastAsia" w:ascii="仿宋" w:hAnsi="仿宋" w:eastAsia="仿宋" w:cs="仿宋"/>
          <w:color w:val="000000"/>
          <w:sz w:val="28"/>
          <w:szCs w:val="28"/>
          <w:lang w:eastAsia="zh-CN"/>
        </w:rPr>
        <w:t>学生</w:t>
      </w:r>
      <w:r>
        <w:rPr>
          <w:rFonts w:hint="eastAsia" w:ascii="仿宋" w:hAnsi="仿宋" w:eastAsia="仿宋" w:cs="仿宋"/>
          <w:color w:val="000000"/>
          <w:sz w:val="28"/>
          <w:szCs w:val="28"/>
        </w:rPr>
        <w:t>使用的相关经费。</w:t>
      </w:r>
    </w:p>
    <w:p>
      <w:pPr>
        <w:pStyle w:val="4"/>
        <w:spacing w:line="480" w:lineRule="exact"/>
        <w:ind w:firstLine="560"/>
        <w:jc w:val="center"/>
        <w:rPr>
          <w:rFonts w:ascii="黑体" w:hAnsi="黑体" w:eastAsia="黑体" w:cs="仿宋"/>
          <w:color w:val="000000"/>
          <w:sz w:val="28"/>
          <w:szCs w:val="28"/>
        </w:rPr>
      </w:pPr>
      <w:r>
        <w:rPr>
          <w:rFonts w:hint="eastAsia" w:ascii="黑体" w:hAnsi="黑体" w:eastAsia="黑体" w:cs="仿宋"/>
          <w:color w:val="000000"/>
          <w:sz w:val="28"/>
          <w:szCs w:val="28"/>
        </w:rPr>
        <w:t>第三章 公务卡办理与使用</w:t>
      </w:r>
    </w:p>
    <w:p>
      <w:pPr>
        <w:pStyle w:val="4"/>
        <w:spacing w:line="480" w:lineRule="exact"/>
        <w:ind w:firstLine="562"/>
        <w:rPr>
          <w:rFonts w:ascii="仿宋" w:hAnsi="仿宋" w:eastAsia="仿宋" w:cs="仿宋"/>
          <w:b/>
          <w:color w:val="000000"/>
          <w:sz w:val="28"/>
          <w:szCs w:val="28"/>
        </w:rPr>
      </w:pPr>
      <w:r>
        <w:rPr>
          <w:rFonts w:hint="eastAsia" w:ascii="仿宋" w:hAnsi="仿宋" w:eastAsia="仿宋" w:cs="仿宋"/>
          <w:b/>
          <w:color w:val="000000"/>
          <w:sz w:val="28"/>
          <w:szCs w:val="28"/>
        </w:rPr>
        <w:t>第七条</w:t>
      </w:r>
      <w:r>
        <w:rPr>
          <w:rFonts w:hint="eastAsia" w:ascii="仿宋" w:hAnsi="仿宋" w:eastAsia="仿宋" w:cs="仿宋"/>
          <w:color w:val="000000"/>
          <w:sz w:val="28"/>
          <w:szCs w:val="28"/>
        </w:rPr>
        <w:t xml:space="preserve"> 我校在职职工均应申请办理公务卡，公务卡需由本人持身份证前往学校财务处综合科申请办理。</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第八条</w:t>
      </w:r>
      <w:r>
        <w:rPr>
          <w:rFonts w:hint="eastAsia" w:ascii="仿宋" w:hAnsi="仿宋" w:eastAsia="仿宋" w:cs="仿宋"/>
          <w:color w:val="000000"/>
          <w:sz w:val="28"/>
          <w:szCs w:val="28"/>
        </w:rPr>
        <w:t xml:space="preserve"> 公务卡实行免费开卡，免收年费，免担保。持卡人应当妥善保管公务卡，规范使用公务卡支付相关结算业务。</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第九条</w:t>
      </w:r>
      <w:r>
        <w:rPr>
          <w:rFonts w:hint="eastAsia" w:ascii="仿宋" w:hAnsi="仿宋" w:eastAsia="仿宋" w:cs="仿宋"/>
          <w:color w:val="000000"/>
          <w:sz w:val="28"/>
          <w:szCs w:val="28"/>
        </w:rPr>
        <w:t xml:space="preserve"> 学校财务部门应当依托国库集中支付系统，认真审核公务卡报销事项，对于批准报销的公务卡消费支出，应当及时通过国库集中支付系统办理公务卡还款手续。</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第十条</w:t>
      </w:r>
      <w:r>
        <w:rPr>
          <w:rFonts w:hint="eastAsia" w:ascii="仿宋" w:hAnsi="仿宋" w:eastAsia="仿宋" w:cs="仿宋"/>
          <w:color w:val="000000"/>
          <w:sz w:val="28"/>
          <w:szCs w:val="28"/>
        </w:rPr>
        <w:t xml:space="preserve"> 公务卡主要用于公务支出的支付结算，本校职工因公务支出需要，根据公务卡受理条件和要求，先以个人名义进行刷卡消费，并取得相应报销凭证和有关银行消费凭证。刷卡消费尚未审核报销之前，公务刷卡行为仍属个人消费行为。公务支出发生后，由持卡人及时向财务处申请办理报销手续。公务卡也可用于个人支付结算业务，但不得办理财务报销手续，单位不承担其个人消费行为所引致的一切责任。</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第十一条</w:t>
      </w:r>
      <w:r>
        <w:rPr>
          <w:rFonts w:hint="eastAsia" w:ascii="仿宋" w:hAnsi="仿宋" w:eastAsia="仿宋" w:cs="仿宋"/>
          <w:color w:val="000000"/>
          <w:sz w:val="28"/>
          <w:szCs w:val="28"/>
        </w:rPr>
        <w:t xml:space="preserve"> 使用公务卡结算的，应在公务卡使用额度内，先通过公务卡结算，并须取得发票等财务报销凭证和有关银行卡消费凭证。学校财务制度对于公务支出有事前审批要求的，持卡人应事先按要求履行相关审批手续。</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第十二条</w:t>
      </w:r>
      <w:r>
        <w:rPr>
          <w:rFonts w:hint="eastAsia" w:ascii="仿宋" w:hAnsi="仿宋" w:eastAsia="仿宋" w:cs="仿宋"/>
          <w:color w:val="000000"/>
          <w:sz w:val="28"/>
          <w:szCs w:val="28"/>
        </w:rPr>
        <w:t xml:space="preserve"> 持卡人使用公务卡消费结算的各项公务支出必须在发卡行规定的免息还款期内（刷卡支付3天后，还款到期日10天前），到财务处报销，若有特殊原因不能及时办理报销手续，请经办人先自行还款，待报销款项到账后从公务卡中取回垫支的费用（公务卡溢额取现不收取手续费）。否则，</w:t>
      </w:r>
      <w:r>
        <w:rPr>
          <w:rFonts w:hint="eastAsia" w:ascii="仿宋" w:hAnsi="仿宋" w:eastAsia="仿宋" w:cs="仿宋"/>
          <w:color w:val="000000"/>
          <w:sz w:val="28"/>
          <w:szCs w:val="28"/>
          <w:lang w:eastAsia="zh-CN"/>
        </w:rPr>
        <w:t>个人承担</w:t>
      </w:r>
      <w:r>
        <w:rPr>
          <w:rFonts w:hint="eastAsia" w:ascii="仿宋" w:hAnsi="仿宋" w:eastAsia="仿宋" w:cs="仿宋"/>
          <w:color w:val="000000"/>
          <w:sz w:val="28"/>
          <w:szCs w:val="28"/>
        </w:rPr>
        <w:t>因报销不及时可能导致罚息和滞纳金等相关费用，</w:t>
      </w:r>
      <w:r>
        <w:rPr>
          <w:rFonts w:hint="eastAsia" w:ascii="仿宋" w:hAnsi="仿宋" w:eastAsia="仿宋" w:cs="仿宋"/>
          <w:color w:val="000000"/>
          <w:sz w:val="28"/>
          <w:szCs w:val="28"/>
          <w:lang w:eastAsia="zh-CN"/>
        </w:rPr>
        <w:t>以及</w:t>
      </w:r>
      <w:r>
        <w:rPr>
          <w:rFonts w:hint="eastAsia" w:ascii="仿宋" w:hAnsi="仿宋" w:eastAsia="仿宋" w:cs="仿宋"/>
          <w:color w:val="000000"/>
          <w:sz w:val="28"/>
          <w:szCs w:val="28"/>
        </w:rPr>
        <w:t>影响持卡人个人资信</w:t>
      </w:r>
      <w:r>
        <w:rPr>
          <w:rFonts w:hint="eastAsia" w:ascii="仿宋" w:hAnsi="仿宋" w:eastAsia="仿宋" w:cs="仿宋"/>
          <w:color w:val="000000"/>
          <w:sz w:val="28"/>
          <w:szCs w:val="28"/>
          <w:lang w:eastAsia="zh-CN"/>
        </w:rPr>
        <w:t>等后果</w:t>
      </w:r>
      <w:r>
        <w:rPr>
          <w:rFonts w:hint="eastAsia" w:ascii="仿宋" w:hAnsi="仿宋" w:eastAsia="仿宋" w:cs="仿宋"/>
          <w:color w:val="000000"/>
          <w:sz w:val="28"/>
          <w:szCs w:val="28"/>
        </w:rPr>
        <w:t>。</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第十三条</w:t>
      </w:r>
      <w:r>
        <w:rPr>
          <w:rFonts w:hint="eastAsia" w:ascii="仿宋" w:hAnsi="仿宋" w:eastAsia="仿宋" w:cs="仿宋"/>
          <w:color w:val="000000"/>
          <w:sz w:val="28"/>
          <w:szCs w:val="28"/>
        </w:rPr>
        <w:t xml:space="preserve"> 持卡人办理公务卡消费支出报销业务时，应当按照学校财务制度要求附有关财务报销凭证及公务卡消费凭证，按学校财务报销规定的程序报送审批。</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第十四条</w:t>
      </w:r>
      <w:r>
        <w:rPr>
          <w:rFonts w:hint="eastAsia" w:ascii="仿宋" w:hAnsi="仿宋" w:eastAsia="仿宋" w:cs="仿宋"/>
          <w:color w:val="000000"/>
          <w:sz w:val="28"/>
          <w:szCs w:val="28"/>
        </w:rPr>
        <w:t xml:space="preserve"> 学校财务人员登录国库集中支付系统，根据持卡人提供的姓名、交易日期和消费金额等信息，查询核对公务消费的真实性，审核确认后批准报销。</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第十五条</w:t>
      </w:r>
      <w:r>
        <w:rPr>
          <w:rFonts w:hint="eastAsia" w:ascii="仿宋" w:hAnsi="仿宋" w:eastAsia="仿宋" w:cs="仿宋"/>
          <w:color w:val="000000"/>
          <w:sz w:val="28"/>
          <w:szCs w:val="28"/>
        </w:rPr>
        <w:t xml:space="preserve"> 学校财务人员对批准报销的公务卡消费支出，应通过国库集中支付系统生成授权支付指令交代理银行办理公务卡还款。</w:t>
      </w:r>
    </w:p>
    <w:p>
      <w:pPr>
        <w:pStyle w:val="4"/>
        <w:spacing w:line="480" w:lineRule="exact"/>
        <w:ind w:firstLine="560"/>
        <w:jc w:val="center"/>
        <w:rPr>
          <w:rFonts w:ascii="黑体" w:hAnsi="黑体" w:eastAsia="黑体" w:cs="仿宋"/>
          <w:color w:val="000000"/>
          <w:sz w:val="28"/>
          <w:szCs w:val="28"/>
        </w:rPr>
      </w:pPr>
      <w:r>
        <w:rPr>
          <w:rFonts w:hint="eastAsia" w:ascii="黑体" w:hAnsi="黑体" w:eastAsia="黑体" w:cs="仿宋"/>
          <w:color w:val="000000"/>
          <w:sz w:val="28"/>
          <w:szCs w:val="28"/>
        </w:rPr>
        <w:t>第四章  附 则</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第十六条</w:t>
      </w:r>
      <w:r>
        <w:rPr>
          <w:rFonts w:hint="eastAsia" w:ascii="仿宋" w:hAnsi="仿宋" w:eastAsia="仿宋" w:cs="仿宋"/>
          <w:color w:val="000000"/>
          <w:sz w:val="28"/>
          <w:szCs w:val="28"/>
        </w:rPr>
        <w:t xml:space="preserve"> 本办法由财务处负责解释。</w:t>
      </w:r>
    </w:p>
    <w:p>
      <w:pPr>
        <w:pStyle w:val="4"/>
        <w:spacing w:line="480" w:lineRule="exact"/>
        <w:ind w:firstLine="562"/>
        <w:rPr>
          <w:rFonts w:ascii="仿宋" w:hAnsi="仿宋" w:eastAsia="仿宋" w:cs="仿宋"/>
          <w:color w:val="000000"/>
          <w:sz w:val="28"/>
          <w:szCs w:val="28"/>
        </w:rPr>
      </w:pPr>
      <w:r>
        <w:rPr>
          <w:rFonts w:hint="eastAsia" w:ascii="仿宋" w:hAnsi="仿宋" w:eastAsia="仿宋" w:cs="仿宋"/>
          <w:b/>
          <w:color w:val="000000"/>
          <w:sz w:val="28"/>
          <w:szCs w:val="28"/>
        </w:rPr>
        <w:t>第十七条</w:t>
      </w:r>
      <w:r>
        <w:rPr>
          <w:rFonts w:hint="eastAsia" w:ascii="仿宋" w:hAnsi="仿宋" w:eastAsia="仿宋" w:cs="仿宋"/>
          <w:color w:val="000000"/>
          <w:sz w:val="28"/>
          <w:szCs w:val="28"/>
        </w:rPr>
        <w:t xml:space="preserve"> 本办法自修订公布之日起执行，如上级政策有变动，则按新政策执行。</w:t>
      </w: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560"/>
        <w:rPr>
          <w:rFonts w:ascii="仿宋" w:hAnsi="仿宋" w:eastAsia="仿宋" w:cs="仿宋"/>
          <w:color w:val="000000"/>
          <w:sz w:val="28"/>
          <w:szCs w:val="28"/>
        </w:rPr>
      </w:pPr>
    </w:p>
    <w:p>
      <w:pPr>
        <w:pStyle w:val="4"/>
        <w:spacing w:line="480" w:lineRule="exact"/>
        <w:ind w:firstLine="0" w:firstLineChars="0"/>
        <w:rPr>
          <w:rFonts w:ascii="黑体" w:hAnsi="黑体" w:eastAsia="黑体" w:cs="仿宋"/>
          <w:color w:val="000000"/>
          <w:sz w:val="28"/>
          <w:szCs w:val="28"/>
        </w:rPr>
      </w:pPr>
      <w:r>
        <w:rPr>
          <w:rFonts w:hint="eastAsia" w:ascii="黑体" w:hAnsi="黑体" w:eastAsia="黑体" w:cs="仿宋"/>
          <w:color w:val="000000"/>
          <w:sz w:val="28"/>
          <w:szCs w:val="28"/>
        </w:rPr>
        <w:t>附表1：</w:t>
      </w:r>
    </w:p>
    <w:p>
      <w:pPr>
        <w:pStyle w:val="4"/>
        <w:spacing w:after="156" w:afterLines="50" w:line="480" w:lineRule="exact"/>
        <w:ind w:firstLine="562"/>
        <w:jc w:val="center"/>
        <w:rPr>
          <w:rFonts w:ascii="仿宋" w:hAnsi="仿宋" w:eastAsia="仿宋" w:cs="仿宋"/>
          <w:color w:val="000000"/>
          <w:sz w:val="28"/>
          <w:szCs w:val="28"/>
        </w:rPr>
      </w:pPr>
      <w:r>
        <w:rPr>
          <w:rFonts w:hint="eastAsia" w:ascii="仿宋" w:hAnsi="仿宋" w:eastAsia="仿宋" w:cs="仿宋"/>
          <w:b/>
          <w:bCs/>
          <w:color w:val="000000"/>
          <w:sz w:val="28"/>
          <w:szCs w:val="28"/>
        </w:rPr>
        <w:t>上海电机学院公务卡强制结算目录</w:t>
      </w:r>
    </w:p>
    <w:tbl>
      <w:tblPr>
        <w:tblStyle w:val="9"/>
        <w:tblW w:w="10575"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4"/>
        <w:gridCol w:w="2084"/>
        <w:gridCol w:w="7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exact"/>
          <w:tblHeader/>
          <w:tblCellSpacing w:w="0" w:type="dxa"/>
          <w:jc w:val="center"/>
        </w:trPr>
        <w:tc>
          <w:tcPr>
            <w:tcW w:w="764" w:type="dxa"/>
          </w:tcPr>
          <w:p>
            <w:pPr>
              <w:pStyle w:val="4"/>
              <w:spacing w:line="480" w:lineRule="exact"/>
              <w:ind w:firstLine="0" w:firstLineChars="0"/>
              <w:jc w:val="center"/>
              <w:rPr>
                <w:rFonts w:ascii="宋体" w:hAnsi="宋体" w:cs="仿宋"/>
                <w:b/>
                <w:bCs/>
                <w:color w:val="000000"/>
                <w:sz w:val="18"/>
                <w:szCs w:val="18"/>
              </w:rPr>
            </w:pPr>
            <w:r>
              <w:rPr>
                <w:rFonts w:hint="eastAsia" w:ascii="宋体" w:hAnsi="宋体" w:cs="仿宋"/>
                <w:b/>
                <w:bCs/>
                <w:color w:val="000000"/>
                <w:sz w:val="18"/>
                <w:szCs w:val="18"/>
              </w:rPr>
              <w:t>序号</w:t>
            </w:r>
          </w:p>
        </w:tc>
        <w:tc>
          <w:tcPr>
            <w:tcW w:w="2084" w:type="dxa"/>
          </w:tcPr>
          <w:p>
            <w:pPr>
              <w:pStyle w:val="4"/>
              <w:spacing w:line="480" w:lineRule="exact"/>
              <w:ind w:firstLine="0" w:firstLineChars="0"/>
              <w:jc w:val="center"/>
              <w:rPr>
                <w:rFonts w:ascii="宋体" w:hAnsi="宋体" w:cs="仿宋"/>
                <w:b/>
                <w:bCs/>
                <w:color w:val="000000"/>
                <w:sz w:val="18"/>
                <w:szCs w:val="18"/>
              </w:rPr>
            </w:pPr>
            <w:r>
              <w:rPr>
                <w:rFonts w:hint="eastAsia" w:ascii="宋体" w:hAnsi="宋体" w:cs="仿宋"/>
                <w:b/>
                <w:bCs/>
                <w:color w:val="000000"/>
                <w:sz w:val="18"/>
                <w:szCs w:val="18"/>
              </w:rPr>
              <w:t>公务卡支付项目</w:t>
            </w:r>
          </w:p>
        </w:tc>
        <w:tc>
          <w:tcPr>
            <w:tcW w:w="7727" w:type="dxa"/>
          </w:tcPr>
          <w:p>
            <w:pPr>
              <w:pStyle w:val="4"/>
              <w:spacing w:line="480" w:lineRule="exact"/>
              <w:ind w:firstLine="360" w:firstLineChars="199"/>
              <w:jc w:val="center"/>
              <w:rPr>
                <w:rFonts w:ascii="宋体" w:hAnsi="宋体" w:cs="仿宋"/>
                <w:b/>
                <w:bCs/>
                <w:color w:val="000000"/>
                <w:sz w:val="18"/>
                <w:szCs w:val="18"/>
              </w:rPr>
            </w:pPr>
            <w:r>
              <w:rPr>
                <w:rFonts w:hint="eastAsia" w:ascii="宋体" w:hAnsi="宋体" w:cs="仿宋"/>
                <w:b/>
                <w:bCs/>
                <w:color w:val="000000"/>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1</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办公费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指单位购买按财务会计制度规定不符合固定资产确认标准的日常办公用品支出、书报杂志等。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2</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印刷费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指单位的零星印刷支出。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3</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咨询费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指单位咨询方面的支出。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4</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手续费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指单位支付的各类手续费。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5</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水电费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指单位支付的水电费。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6</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邮电费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指单位开支的邮寄费、电话费、电报费、传真费和网络通讯费等支出。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7</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差旅费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指单位工作人员因</w:t>
            </w:r>
            <w:r>
              <w:rPr>
                <w:rFonts w:hint="eastAsia" w:ascii="宋体" w:hAnsi="宋体" w:cs="仿宋"/>
                <w:color w:val="000000"/>
                <w:sz w:val="18"/>
                <w:szCs w:val="18"/>
                <w:lang w:eastAsia="zh-CN"/>
              </w:rPr>
              <w:t>公</w:t>
            </w:r>
            <w:r>
              <w:rPr>
                <w:rFonts w:hint="eastAsia" w:ascii="宋体" w:hAnsi="宋体" w:cs="仿宋"/>
                <w:color w:val="000000"/>
                <w:sz w:val="18"/>
                <w:szCs w:val="18"/>
              </w:rPr>
              <w:t>出差支付的住宿费、购买机票支出等。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8</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维修（护）费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指单位日常开支的固定资产（不包括车船等交通工具）修理和维护费用，网络信息系统运行与维护费用。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9</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租赁费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指租赁办公用房、宿舍、专用通讯网以及其它设备等方面的支出。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10</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会议费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指单位主办会议中按规定开支的房租费、餐饮费以及文件资料印刷费、会议场地租用费等。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11</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培训费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指各类培训支出。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12</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公务接待费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指单位按规定开支的各类公务接待（含外宾接待）费用。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3"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13</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专用材料费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指单位购买日常专用材料，如药品及医疗耗材、实验室用品、消耗性体育用品、专用工具和仪器等发生的支出。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14</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公务用车运行维护费</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指单位公务用车燃料费、维修费、保险费等支出。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15</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其他交通费用</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指单位除公务用车运行维护费以外的其他交通费用。如飞机、船舶等的燃料费、维修费、保险费等。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blCellSpacing w:w="0" w:type="dxa"/>
          <w:jc w:val="center"/>
        </w:trPr>
        <w:tc>
          <w:tcPr>
            <w:tcW w:w="76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16</w:t>
            </w:r>
          </w:p>
        </w:tc>
        <w:tc>
          <w:tcPr>
            <w:tcW w:w="2084" w:type="dxa"/>
            <w:vAlign w:val="center"/>
          </w:tcPr>
          <w:p>
            <w:pPr>
              <w:pStyle w:val="4"/>
              <w:spacing w:line="480" w:lineRule="exact"/>
              <w:ind w:firstLine="0" w:firstLineChars="0"/>
              <w:jc w:val="center"/>
              <w:rPr>
                <w:rFonts w:ascii="宋体" w:hAnsi="宋体" w:cs="仿宋"/>
                <w:color w:val="000000"/>
                <w:sz w:val="18"/>
                <w:szCs w:val="18"/>
              </w:rPr>
            </w:pPr>
            <w:r>
              <w:rPr>
                <w:rFonts w:hint="eastAsia" w:ascii="宋体" w:hAnsi="宋体" w:cs="仿宋"/>
                <w:color w:val="000000"/>
                <w:sz w:val="18"/>
                <w:szCs w:val="18"/>
              </w:rPr>
              <w:t>其它商品和服务支出</w:t>
            </w:r>
          </w:p>
        </w:tc>
        <w:tc>
          <w:tcPr>
            <w:tcW w:w="7727" w:type="dxa"/>
            <w:vAlign w:val="center"/>
          </w:tcPr>
          <w:p>
            <w:pPr>
              <w:pStyle w:val="4"/>
              <w:spacing w:line="480" w:lineRule="exact"/>
              <w:ind w:firstLine="0" w:firstLineChars="0"/>
              <w:rPr>
                <w:rFonts w:ascii="宋体" w:hAnsi="宋体" w:cs="仿宋"/>
                <w:color w:val="000000"/>
                <w:sz w:val="18"/>
                <w:szCs w:val="18"/>
              </w:rPr>
            </w:pPr>
            <w:r>
              <w:rPr>
                <w:rFonts w:hint="eastAsia" w:ascii="宋体" w:hAnsi="宋体" w:cs="仿宋"/>
                <w:color w:val="000000"/>
                <w:sz w:val="18"/>
                <w:szCs w:val="18"/>
              </w:rPr>
              <w:t>指上述项目中未包括，但适合采取公务卡结算的支出项目。</w:t>
            </w:r>
          </w:p>
        </w:tc>
      </w:tr>
    </w:tbl>
    <w:p>
      <w:pPr>
        <w:pStyle w:val="4"/>
        <w:spacing w:before="156" w:beforeLines="50" w:line="400" w:lineRule="exact"/>
        <w:ind w:firstLine="0" w:firstLineChars="0"/>
        <w:jc w:val="left"/>
        <w:rPr>
          <w:rFonts w:ascii="仿宋" w:hAnsi="仿宋" w:eastAsia="仿宋" w:cs="仿宋"/>
          <w:color w:val="000000"/>
          <w:sz w:val="28"/>
          <w:szCs w:val="28"/>
        </w:rPr>
      </w:pPr>
      <w:r>
        <w:rPr>
          <w:rFonts w:hint="eastAsia" w:ascii="宋体" w:hAnsi="宋体" w:cs="仿宋"/>
          <w:color w:val="000000"/>
          <w:sz w:val="18"/>
          <w:szCs w:val="18"/>
        </w:rPr>
        <w:t>注：凡目录规定的公务支出项目，要按规定使用公务卡结算，不再使用现金结算（符合《上海电机学院现金结算目录（试行）》的支出除外）。原使用转账方式结算的，可继续使用转账方式。上述项目纳入财</w:t>
      </w:r>
      <w:r>
        <w:rPr>
          <w:rFonts w:hint="eastAsia" w:ascii="仿宋" w:hAnsi="仿宋" w:eastAsia="仿宋" w:cs="仿宋"/>
          <w:color w:val="000000"/>
          <w:szCs w:val="21"/>
        </w:rPr>
        <w:t>政直</w:t>
      </w:r>
      <w:r>
        <w:rPr>
          <w:rFonts w:hint="eastAsia" w:ascii="宋体" w:hAnsi="宋体" w:cs="仿宋"/>
          <w:color w:val="000000"/>
          <w:sz w:val="18"/>
          <w:szCs w:val="18"/>
        </w:rPr>
        <w:t>接支付范围的，要按财政直接支付流程办理支付。</w:t>
      </w:r>
      <w:r>
        <w:rPr>
          <w:rFonts w:hint="eastAsia" w:ascii="仿宋" w:hAnsi="仿宋" w:eastAsia="仿宋" w:cs="仿宋"/>
          <w:color w:val="000000"/>
          <w:sz w:val="28"/>
          <w:szCs w:val="28"/>
        </w:rPr>
        <w:br w:type="page"/>
      </w:r>
      <w:r>
        <w:rPr>
          <w:rFonts w:hint="eastAsia" w:ascii="黑体" w:hAnsi="黑体" w:eastAsia="黑体" w:cs="仿宋"/>
          <w:color w:val="000000"/>
          <w:sz w:val="30"/>
          <w:szCs w:val="30"/>
        </w:rPr>
        <w:t>附表2：</w:t>
      </w:r>
    </w:p>
    <w:p>
      <w:pPr>
        <w:spacing w:after="156" w:afterLines="50" w:line="480" w:lineRule="exact"/>
        <w:ind w:firstLine="562" w:firstLineChars="200"/>
        <w:jc w:val="center"/>
        <w:rPr>
          <w:rFonts w:ascii="仿宋" w:hAnsi="仿宋" w:eastAsia="仿宋" w:cs="仿宋"/>
          <w:color w:val="000000"/>
          <w:sz w:val="28"/>
          <w:szCs w:val="28"/>
        </w:rPr>
      </w:pPr>
      <w:r>
        <w:rPr>
          <w:rFonts w:hint="eastAsia" w:ascii="仿宋" w:hAnsi="仿宋" w:eastAsia="仿宋" w:cs="仿宋"/>
          <w:b/>
          <w:bCs/>
          <w:color w:val="000000"/>
          <w:sz w:val="28"/>
          <w:szCs w:val="28"/>
        </w:rPr>
        <w:t>上海电机学院现金结算目录（试行）</w:t>
      </w:r>
    </w:p>
    <w:tbl>
      <w:tblPr>
        <w:tblStyle w:val="9"/>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6"/>
        <w:gridCol w:w="7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blCellSpacing w:w="0" w:type="dxa"/>
          <w:jc w:val="center"/>
        </w:trPr>
        <w:tc>
          <w:tcPr>
            <w:tcW w:w="956" w:type="dxa"/>
            <w:vAlign w:val="center"/>
          </w:tcPr>
          <w:p>
            <w:pPr>
              <w:spacing w:line="480" w:lineRule="exact"/>
              <w:jc w:val="center"/>
              <w:rPr>
                <w:rFonts w:ascii="仿宋" w:hAnsi="仿宋" w:eastAsia="仿宋" w:cs="仿宋"/>
                <w:b/>
                <w:bCs/>
                <w:color w:val="000000"/>
                <w:szCs w:val="21"/>
              </w:rPr>
            </w:pPr>
            <w:r>
              <w:rPr>
                <w:rFonts w:hint="eastAsia" w:ascii="仿宋" w:hAnsi="仿宋" w:eastAsia="仿宋" w:cs="仿宋"/>
                <w:b/>
                <w:bCs/>
                <w:color w:val="000000"/>
                <w:szCs w:val="21"/>
              </w:rPr>
              <w:t>序号</w:t>
            </w:r>
          </w:p>
        </w:tc>
        <w:tc>
          <w:tcPr>
            <w:tcW w:w="7759" w:type="dxa"/>
            <w:vAlign w:val="center"/>
          </w:tcPr>
          <w:p>
            <w:pPr>
              <w:spacing w:line="480" w:lineRule="exact"/>
              <w:ind w:firstLine="422" w:firstLineChars="200"/>
              <w:jc w:val="center"/>
              <w:rPr>
                <w:rFonts w:ascii="仿宋" w:hAnsi="仿宋" w:eastAsia="仿宋" w:cs="仿宋"/>
                <w:b/>
                <w:bCs/>
                <w:color w:val="000000"/>
                <w:szCs w:val="21"/>
              </w:rPr>
            </w:pPr>
            <w:r>
              <w:rPr>
                <w:rFonts w:hint="eastAsia" w:ascii="仿宋" w:hAnsi="仿宋" w:eastAsia="仿宋" w:cs="仿宋"/>
                <w:b/>
                <w:bCs/>
                <w:color w:val="000000"/>
                <w:szCs w:val="21"/>
              </w:rPr>
              <w:t>现金支付项目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blCellSpacing w:w="0" w:type="dxa"/>
          <w:jc w:val="center"/>
        </w:trPr>
        <w:tc>
          <w:tcPr>
            <w:tcW w:w="956" w:type="dxa"/>
            <w:vAlign w:val="center"/>
          </w:tcPr>
          <w:p>
            <w:pPr>
              <w:spacing w:line="48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1</w:t>
            </w:r>
          </w:p>
        </w:tc>
        <w:tc>
          <w:tcPr>
            <w:tcW w:w="7759" w:type="dxa"/>
            <w:vAlign w:val="center"/>
          </w:tcPr>
          <w:p>
            <w:pPr>
              <w:spacing w:line="480" w:lineRule="exact"/>
              <w:ind w:firstLine="420" w:firstLineChars="200"/>
              <w:rPr>
                <w:rFonts w:ascii="宋体" w:hAnsi="宋体" w:cs="仿宋"/>
                <w:color w:val="000000"/>
                <w:szCs w:val="21"/>
              </w:rPr>
            </w:pPr>
            <w:r>
              <w:rPr>
                <w:rFonts w:hint="eastAsia" w:ascii="宋体" w:hAnsi="宋体" w:cs="仿宋"/>
                <w:color w:val="000000"/>
                <w:szCs w:val="21"/>
              </w:rPr>
              <w:t>单笔消费在500元以下且不具备刷卡条件的零星公务支出。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atLeast"/>
          <w:tblCellSpacing w:w="0" w:type="dxa"/>
          <w:jc w:val="center"/>
        </w:trPr>
        <w:tc>
          <w:tcPr>
            <w:tcW w:w="956" w:type="dxa"/>
            <w:vAlign w:val="center"/>
          </w:tcPr>
          <w:p>
            <w:pPr>
              <w:spacing w:line="48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2</w:t>
            </w:r>
          </w:p>
        </w:tc>
        <w:tc>
          <w:tcPr>
            <w:tcW w:w="7759" w:type="dxa"/>
            <w:vAlign w:val="center"/>
          </w:tcPr>
          <w:p>
            <w:pPr>
              <w:spacing w:line="480" w:lineRule="exact"/>
              <w:ind w:firstLine="420" w:firstLineChars="200"/>
              <w:rPr>
                <w:rFonts w:ascii="宋体" w:hAnsi="宋体" w:cs="仿宋"/>
                <w:color w:val="000000"/>
                <w:szCs w:val="21"/>
              </w:rPr>
            </w:pPr>
            <w:r>
              <w:rPr>
                <w:rFonts w:hint="eastAsia" w:ascii="宋体" w:hAnsi="宋体" w:cs="仿宋"/>
                <w:color w:val="000000"/>
                <w:szCs w:val="21"/>
              </w:rPr>
              <w:t>快递费、过路过桥费、出租车费用、停车费等费用中目前只能使用现金结算的支出；现金收取的押金返还。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1" w:hRule="atLeast"/>
          <w:tblCellSpacing w:w="0" w:type="dxa"/>
          <w:jc w:val="center"/>
        </w:trPr>
        <w:tc>
          <w:tcPr>
            <w:tcW w:w="956" w:type="dxa"/>
            <w:vAlign w:val="center"/>
          </w:tcPr>
          <w:p>
            <w:pPr>
              <w:spacing w:line="48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3</w:t>
            </w:r>
          </w:p>
        </w:tc>
        <w:tc>
          <w:tcPr>
            <w:tcW w:w="7759" w:type="dxa"/>
            <w:vAlign w:val="center"/>
          </w:tcPr>
          <w:p>
            <w:pPr>
              <w:spacing w:line="480" w:lineRule="exact"/>
              <w:ind w:firstLine="420" w:firstLineChars="200"/>
              <w:rPr>
                <w:rFonts w:ascii="宋体" w:hAnsi="宋体" w:cs="仿宋"/>
                <w:color w:val="000000"/>
                <w:szCs w:val="21"/>
              </w:rPr>
            </w:pPr>
            <w:r>
              <w:rPr>
                <w:rFonts w:hint="eastAsia" w:ascii="宋体" w:hAnsi="宋体" w:cs="仿宋"/>
                <w:color w:val="000000"/>
                <w:szCs w:val="21"/>
              </w:rPr>
              <w:t>支付给本市（本市行政机关、参照公务员法管理的事业单位、行政类事业单位和参照行政类管理的事业单位工作人员除外）和外省区市人员的一次性劳务报酬。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blCellSpacing w:w="0" w:type="dxa"/>
          <w:jc w:val="center"/>
        </w:trPr>
        <w:tc>
          <w:tcPr>
            <w:tcW w:w="956" w:type="dxa"/>
            <w:vAlign w:val="center"/>
          </w:tcPr>
          <w:p>
            <w:pPr>
              <w:spacing w:line="48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4</w:t>
            </w:r>
          </w:p>
        </w:tc>
        <w:tc>
          <w:tcPr>
            <w:tcW w:w="7759" w:type="dxa"/>
            <w:vAlign w:val="center"/>
          </w:tcPr>
          <w:p>
            <w:pPr>
              <w:spacing w:line="480" w:lineRule="exact"/>
              <w:ind w:firstLine="420" w:firstLineChars="200"/>
              <w:rPr>
                <w:rFonts w:ascii="宋体" w:hAnsi="宋体" w:cs="仿宋"/>
                <w:color w:val="000000"/>
                <w:szCs w:val="21"/>
              </w:rPr>
            </w:pPr>
            <w:r>
              <w:rPr>
                <w:rFonts w:hint="eastAsia" w:ascii="宋体" w:hAnsi="宋体" w:cs="仿宋"/>
                <w:color w:val="000000"/>
                <w:szCs w:val="21"/>
              </w:rPr>
              <w:t>支付给困难或病患职工、优抚对象或特殊人群等的一次性慰问支出；抚恤金、丧葬费；孤残儿童给养费中的零用金支出。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blCellSpacing w:w="0" w:type="dxa"/>
          <w:jc w:val="center"/>
        </w:trPr>
        <w:tc>
          <w:tcPr>
            <w:tcW w:w="956" w:type="dxa"/>
            <w:vAlign w:val="center"/>
          </w:tcPr>
          <w:p>
            <w:pPr>
              <w:spacing w:line="48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5</w:t>
            </w:r>
          </w:p>
        </w:tc>
        <w:tc>
          <w:tcPr>
            <w:tcW w:w="7759" w:type="dxa"/>
            <w:vAlign w:val="center"/>
          </w:tcPr>
          <w:p>
            <w:pPr>
              <w:spacing w:line="480" w:lineRule="exact"/>
              <w:ind w:firstLine="420" w:firstLineChars="200"/>
              <w:rPr>
                <w:rFonts w:ascii="宋体" w:hAnsi="宋体" w:cs="仿宋"/>
                <w:color w:val="000000"/>
                <w:szCs w:val="21"/>
              </w:rPr>
            </w:pPr>
            <w:r>
              <w:rPr>
                <w:rFonts w:hint="eastAsia" w:ascii="宋体" w:hAnsi="宋体" w:cs="仿宋"/>
                <w:color w:val="000000"/>
                <w:szCs w:val="21"/>
              </w:rPr>
              <w:t>维稳等特殊工作需要的相关支出。</w:t>
            </w:r>
          </w:p>
        </w:tc>
      </w:tr>
    </w:tbl>
    <w:p/>
    <w:sectPr>
      <w:footerReference r:id="rId5" w:type="first"/>
      <w:footerReference r:id="rId3" w:type="default"/>
      <w:footerReference r:id="rId4" w:type="even"/>
      <w:pgSz w:w="11906" w:h="16838"/>
      <w:pgMar w:top="2098" w:right="1587" w:bottom="1701" w:left="1588" w:header="851" w:footer="1587" w:gutter="113"/>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60" w:right="90"/>
      <w:jc w:val="right"/>
      <w:rPr>
        <w:rFonts w:ascii="仿宋" w:hAnsi="仿宋" w:eastAsia="仿宋"/>
        <w:sz w:val="28"/>
        <w:szCs w:val="28"/>
      </w:rPr>
    </w:pPr>
    <w:r>
      <w:rPr>
        <w:rFonts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r>
      <w:rPr>
        <w:rFonts w:ascii="仿宋" w:hAnsi="仿宋" w:eastAsia="仿宋"/>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2162" w:wrap="around" w:vAnchor="text" w:hAnchor="page" w:x="1522" w:y="-2"/>
      <w:ind w:firstLine="280" w:firstLineChars="100"/>
      <w:rPr>
        <w:rStyle w:val="11"/>
        <w:rFonts w:ascii="仿宋_GB2312"/>
        <w:sz w:val="28"/>
      </w:rPr>
    </w:pPr>
    <w:r>
      <w:rPr>
        <w:rStyle w:val="11"/>
        <w:rFonts w:hint="eastAsia" w:ascii="仿宋_GB2312"/>
        <w:sz w:val="28"/>
      </w:rPr>
      <w:t xml:space="preserve">— </w:t>
    </w:r>
    <w:r>
      <w:rPr>
        <w:rFonts w:ascii="仿宋_GB2312"/>
        <w:sz w:val="28"/>
      </w:rPr>
      <w:fldChar w:fldCharType="begin"/>
    </w:r>
    <w:r>
      <w:rPr>
        <w:rStyle w:val="11"/>
        <w:rFonts w:ascii="仿宋_GB2312"/>
        <w:sz w:val="28"/>
      </w:rPr>
      <w:instrText xml:space="preserve">PAGE  </w:instrText>
    </w:r>
    <w:r>
      <w:rPr>
        <w:rFonts w:ascii="仿宋_GB2312"/>
        <w:sz w:val="28"/>
      </w:rPr>
      <w:fldChar w:fldCharType="separate"/>
    </w:r>
    <w:r>
      <w:rPr>
        <w:rStyle w:val="11"/>
        <w:rFonts w:ascii="仿宋_GB2312"/>
        <w:sz w:val="28"/>
      </w:rPr>
      <w:t>6</w:t>
    </w:r>
    <w:r>
      <w:rPr>
        <w:rFonts w:ascii="仿宋_GB2312"/>
        <w:sz w:val="28"/>
      </w:rPr>
      <w:fldChar w:fldCharType="end"/>
    </w:r>
    <w:r>
      <w:rPr>
        <w:rStyle w:val="11"/>
        <w:rFonts w:hint="eastAsia" w:ascii="仿宋_GB2312"/>
        <w:sz w:val="28"/>
      </w:rPr>
      <w:t xml:space="preserve"> —</w:t>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568" w:firstLineChars="2700"/>
      <w:rPr>
        <w:rFonts w:ascii="仿宋_GB2312"/>
        <w:sz w:val="28"/>
      </w:rPr>
    </w:pPr>
    <w:r>
      <w:rPr>
        <w:rFonts w:hint="eastAsia" w:ascii="仿宋_GB2312"/>
        <w:sz w:val="28"/>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NDkxYzMxZWQ5ZmIyNzc3MDU4NmUyZDQ3YTU0MmMifQ=="/>
  </w:docVars>
  <w:rsids>
    <w:rsidRoot w:val="007B3B35"/>
    <w:rsid w:val="00012140"/>
    <w:rsid w:val="00031CE8"/>
    <w:rsid w:val="0003353C"/>
    <w:rsid w:val="00043070"/>
    <w:rsid w:val="00044F81"/>
    <w:rsid w:val="00050098"/>
    <w:rsid w:val="00061608"/>
    <w:rsid w:val="0006642B"/>
    <w:rsid w:val="000B5DED"/>
    <w:rsid w:val="000D74EB"/>
    <w:rsid w:val="0011442A"/>
    <w:rsid w:val="00114E31"/>
    <w:rsid w:val="001153F1"/>
    <w:rsid w:val="00127B68"/>
    <w:rsid w:val="0019703E"/>
    <w:rsid w:val="001C19C8"/>
    <w:rsid w:val="001C26ED"/>
    <w:rsid w:val="001D4C01"/>
    <w:rsid w:val="001E4153"/>
    <w:rsid w:val="001F2DE2"/>
    <w:rsid w:val="00210535"/>
    <w:rsid w:val="002310F7"/>
    <w:rsid w:val="00283D47"/>
    <w:rsid w:val="00286DF8"/>
    <w:rsid w:val="002B4212"/>
    <w:rsid w:val="002D5801"/>
    <w:rsid w:val="00310093"/>
    <w:rsid w:val="00363A37"/>
    <w:rsid w:val="00394B00"/>
    <w:rsid w:val="00396923"/>
    <w:rsid w:val="003A5CE0"/>
    <w:rsid w:val="003C0726"/>
    <w:rsid w:val="0041054E"/>
    <w:rsid w:val="004218F2"/>
    <w:rsid w:val="00480DCA"/>
    <w:rsid w:val="004A6DE0"/>
    <w:rsid w:val="004E5F5A"/>
    <w:rsid w:val="00532F71"/>
    <w:rsid w:val="00541598"/>
    <w:rsid w:val="00576E97"/>
    <w:rsid w:val="005B1C7E"/>
    <w:rsid w:val="005D0532"/>
    <w:rsid w:val="005D13D6"/>
    <w:rsid w:val="005E7B4F"/>
    <w:rsid w:val="006B2964"/>
    <w:rsid w:val="006F65AD"/>
    <w:rsid w:val="00750DB8"/>
    <w:rsid w:val="007A37BF"/>
    <w:rsid w:val="007B3B35"/>
    <w:rsid w:val="007C1E4E"/>
    <w:rsid w:val="007C3944"/>
    <w:rsid w:val="0082415F"/>
    <w:rsid w:val="008466F8"/>
    <w:rsid w:val="00870A4A"/>
    <w:rsid w:val="00890A9E"/>
    <w:rsid w:val="008B17D0"/>
    <w:rsid w:val="008C42E5"/>
    <w:rsid w:val="009128CA"/>
    <w:rsid w:val="00914584"/>
    <w:rsid w:val="00940A80"/>
    <w:rsid w:val="00951D70"/>
    <w:rsid w:val="00955742"/>
    <w:rsid w:val="00956983"/>
    <w:rsid w:val="0098305D"/>
    <w:rsid w:val="00993D09"/>
    <w:rsid w:val="009C25C3"/>
    <w:rsid w:val="009D1C8C"/>
    <w:rsid w:val="009D3A76"/>
    <w:rsid w:val="009E7025"/>
    <w:rsid w:val="009F4712"/>
    <w:rsid w:val="00A10001"/>
    <w:rsid w:val="00A2241E"/>
    <w:rsid w:val="00A54E7B"/>
    <w:rsid w:val="00A56791"/>
    <w:rsid w:val="00A733EE"/>
    <w:rsid w:val="00A774B1"/>
    <w:rsid w:val="00A812C6"/>
    <w:rsid w:val="00A829A9"/>
    <w:rsid w:val="00AE1414"/>
    <w:rsid w:val="00B027AC"/>
    <w:rsid w:val="00B234E8"/>
    <w:rsid w:val="00B4267E"/>
    <w:rsid w:val="00BA3AC5"/>
    <w:rsid w:val="00BC3C8A"/>
    <w:rsid w:val="00BD7B27"/>
    <w:rsid w:val="00BE4576"/>
    <w:rsid w:val="00BE7E14"/>
    <w:rsid w:val="00C13AAE"/>
    <w:rsid w:val="00C20123"/>
    <w:rsid w:val="00C33FA8"/>
    <w:rsid w:val="00C33FAA"/>
    <w:rsid w:val="00C3573B"/>
    <w:rsid w:val="00C6667A"/>
    <w:rsid w:val="00C82444"/>
    <w:rsid w:val="00CA3F94"/>
    <w:rsid w:val="00CD4ADD"/>
    <w:rsid w:val="00CE2DE1"/>
    <w:rsid w:val="00CE3DBF"/>
    <w:rsid w:val="00D020C1"/>
    <w:rsid w:val="00D4075D"/>
    <w:rsid w:val="00D503FD"/>
    <w:rsid w:val="00D51C2D"/>
    <w:rsid w:val="00DA790B"/>
    <w:rsid w:val="00E20C97"/>
    <w:rsid w:val="00EC1039"/>
    <w:rsid w:val="00EF7707"/>
    <w:rsid w:val="00F07BA9"/>
    <w:rsid w:val="00F101AD"/>
    <w:rsid w:val="00F243E6"/>
    <w:rsid w:val="00F50A28"/>
    <w:rsid w:val="00F53D34"/>
    <w:rsid w:val="00F639C4"/>
    <w:rsid w:val="00FB1858"/>
    <w:rsid w:val="00FC4482"/>
    <w:rsid w:val="00FC76BC"/>
    <w:rsid w:val="00FF7067"/>
    <w:rsid w:val="401B35FD"/>
    <w:rsid w:val="431700BD"/>
    <w:rsid w:val="439253A3"/>
    <w:rsid w:val="52372159"/>
    <w:rsid w:val="61BE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0"/>
    <w:pPr>
      <w:jc w:val="left"/>
    </w:pPr>
  </w:style>
  <w:style w:type="paragraph" w:styleId="4">
    <w:name w:val="Body Text Indent"/>
    <w:basedOn w:val="1"/>
    <w:link w:val="16"/>
    <w:qFormat/>
    <w:uiPriority w:val="0"/>
    <w:pPr>
      <w:ind w:firstLine="420" w:firstLineChars="200"/>
    </w:pPr>
    <w:rPr>
      <w:rFonts w:ascii="Calibri" w:hAnsi="Calibri"/>
    </w:rPr>
  </w:style>
  <w:style w:type="paragraph" w:styleId="5">
    <w:name w:val="Balloon Text"/>
    <w:basedOn w:val="1"/>
    <w:link w:val="20"/>
    <w:semiHidden/>
    <w:unhideWhenUsed/>
    <w:uiPriority w:val="0"/>
    <w:rPr>
      <w:sz w:val="18"/>
      <w:szCs w:val="18"/>
    </w:rPr>
  </w:style>
  <w:style w:type="paragraph" w:styleId="6">
    <w:name w:val="footer"/>
    <w:basedOn w:val="1"/>
    <w:link w:val="14"/>
    <w:uiPriority w:val="99"/>
    <w:pPr>
      <w:tabs>
        <w:tab w:val="center" w:pos="4153"/>
        <w:tab w:val="right" w:pos="8306"/>
      </w:tabs>
      <w:snapToGrid w:val="0"/>
      <w:jc w:val="left"/>
    </w:pPr>
    <w:rPr>
      <w:rFonts w:ascii="华文行楷" w:eastAsia="华文行楷"/>
      <w:b/>
      <w:bCs/>
      <w:kern w:val="0"/>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rFonts w:ascii="华文行楷" w:eastAsia="华文行楷"/>
      <w:b/>
      <w:bCs/>
      <w:kern w:val="0"/>
      <w:sz w:val="18"/>
      <w:szCs w:val="18"/>
    </w:rPr>
  </w:style>
  <w:style w:type="paragraph" w:styleId="8">
    <w:name w:val="annotation subject"/>
    <w:basedOn w:val="3"/>
    <w:next w:val="3"/>
    <w:link w:val="19"/>
    <w:semiHidden/>
    <w:unhideWhenUsed/>
    <w:qFormat/>
    <w:uiPriority w:val="0"/>
    <w:rPr>
      <w:b/>
      <w:bCs/>
    </w:rPr>
  </w:style>
  <w:style w:type="character" w:styleId="11">
    <w:name w:val="page number"/>
    <w:basedOn w:val="10"/>
    <w:uiPriority w:val="0"/>
  </w:style>
  <w:style w:type="character" w:styleId="12">
    <w:name w:val="annotation reference"/>
    <w:basedOn w:val="10"/>
    <w:semiHidden/>
    <w:unhideWhenUsed/>
    <w:qFormat/>
    <w:uiPriority w:val="0"/>
    <w:rPr>
      <w:sz w:val="21"/>
      <w:szCs w:val="21"/>
    </w:rPr>
  </w:style>
  <w:style w:type="character" w:customStyle="1" w:styleId="13">
    <w:name w:val="页眉 字符"/>
    <w:basedOn w:val="10"/>
    <w:link w:val="7"/>
    <w:qFormat/>
    <w:uiPriority w:val="0"/>
    <w:rPr>
      <w:rFonts w:ascii="华文行楷" w:eastAsia="华文行楷"/>
      <w:b/>
      <w:bCs/>
      <w:sz w:val="18"/>
      <w:szCs w:val="18"/>
    </w:rPr>
  </w:style>
  <w:style w:type="character" w:customStyle="1" w:styleId="14">
    <w:name w:val="页脚 字符"/>
    <w:basedOn w:val="10"/>
    <w:link w:val="6"/>
    <w:uiPriority w:val="99"/>
    <w:rPr>
      <w:rFonts w:ascii="华文行楷" w:eastAsia="华文行楷"/>
      <w:b/>
      <w:bCs/>
      <w:sz w:val="18"/>
      <w:szCs w:val="18"/>
    </w:rPr>
  </w:style>
  <w:style w:type="character" w:customStyle="1" w:styleId="15">
    <w:name w:val="标题 1 字符"/>
    <w:basedOn w:val="10"/>
    <w:link w:val="2"/>
    <w:qFormat/>
    <w:uiPriority w:val="0"/>
    <w:rPr>
      <w:b/>
      <w:bCs/>
      <w:kern w:val="44"/>
      <w:sz w:val="44"/>
      <w:szCs w:val="44"/>
    </w:rPr>
  </w:style>
  <w:style w:type="character" w:customStyle="1" w:styleId="16">
    <w:name w:val="正文文本缩进 字符"/>
    <w:link w:val="4"/>
    <w:qFormat/>
    <w:uiPriority w:val="0"/>
    <w:rPr>
      <w:rFonts w:ascii="Calibri" w:hAnsi="Calibri"/>
      <w:kern w:val="2"/>
      <w:sz w:val="21"/>
      <w:szCs w:val="24"/>
    </w:rPr>
  </w:style>
  <w:style w:type="character" w:customStyle="1" w:styleId="17">
    <w:name w:val="正文文本缩进 Char1"/>
    <w:basedOn w:val="10"/>
    <w:uiPriority w:val="0"/>
    <w:rPr>
      <w:kern w:val="2"/>
      <w:sz w:val="21"/>
      <w:szCs w:val="24"/>
    </w:rPr>
  </w:style>
  <w:style w:type="character" w:customStyle="1" w:styleId="18">
    <w:name w:val="批注文字 字符"/>
    <w:basedOn w:val="10"/>
    <w:link w:val="3"/>
    <w:semiHidden/>
    <w:uiPriority w:val="0"/>
    <w:rPr>
      <w:kern w:val="2"/>
      <w:sz w:val="21"/>
      <w:szCs w:val="24"/>
    </w:rPr>
  </w:style>
  <w:style w:type="character" w:customStyle="1" w:styleId="19">
    <w:name w:val="批注主题 字符"/>
    <w:basedOn w:val="18"/>
    <w:link w:val="8"/>
    <w:semiHidden/>
    <w:uiPriority w:val="0"/>
    <w:rPr>
      <w:b/>
      <w:bCs/>
      <w:kern w:val="2"/>
      <w:sz w:val="21"/>
      <w:szCs w:val="24"/>
    </w:rPr>
  </w:style>
  <w:style w:type="character" w:customStyle="1" w:styleId="20">
    <w:name w:val="批注框文本 字符"/>
    <w:basedOn w:val="10"/>
    <w:link w:val="5"/>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6</Pages>
  <Words>2732</Words>
  <Characters>2760</Characters>
  <Lines>21</Lines>
  <Paragraphs>6</Paragraphs>
  <TotalTime>17</TotalTime>
  <ScaleCrop>false</ScaleCrop>
  <LinksUpToDate>false</LinksUpToDate>
  <CharactersWithSpaces>2802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2018-10-25T01:03:00Z</dcterms:created>
  <dc:creator>任利伟</dc:creator>
  <cp:lastModifiedBy>尾巴的伟</cp:lastModifiedBy>
  <dcterms:modified xsi:type="dcterms:W3CDTF">2023-11-21T07:15:48Z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B72D7D692A5948FB9B825C13D46B9C6F_13</vt:lpwstr>
  </property>
</Properties>
</file>