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1FC" w:rsidRPr="005112B1" w:rsidRDefault="00A441FC" w:rsidP="00A441FC">
      <w:pPr>
        <w:widowControl/>
        <w:spacing w:line="555" w:lineRule="atLeast"/>
        <w:jc w:val="center"/>
        <w:rPr>
          <w:rFonts w:ascii="仿宋" w:eastAsia="仿宋" w:hAnsi="仿宋" w:cs="宋体"/>
          <w:b/>
          <w:bCs/>
          <w:color w:val="1F1F1F"/>
          <w:kern w:val="0"/>
          <w:sz w:val="32"/>
          <w:szCs w:val="32"/>
        </w:rPr>
      </w:pPr>
      <w:r w:rsidRPr="005112B1">
        <w:rPr>
          <w:rFonts w:ascii="仿宋" w:eastAsia="仿宋" w:hAnsi="仿宋" w:cs="宋体" w:hint="eastAsia"/>
          <w:b/>
          <w:bCs/>
          <w:color w:val="1F1F1F"/>
          <w:kern w:val="0"/>
          <w:sz w:val="32"/>
          <w:szCs w:val="32"/>
        </w:rPr>
        <w:t>上海电机学院实验室常用加热设备安全管理办法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30"/>
          <w:szCs w:val="30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第一章 总则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实验室常用加热设备主要包括：油浴锅、沙浴锅、金属浴锅、水浴锅等加热浴锅，烘箱、电阻炉（马弗炉）、电磁炉、电烙铁、电吹风、热风枪、电热水壶、微波炉等</w:t>
      </w:r>
      <w:r w:rsidR="00E930FD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设备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各二级学院（中心）及相关实验人员须提高实验室安全意识，加强加热设备的使用与管理，定期检查加热设备的安全状况，杜绝违规操作。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第三条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使用加热设备的实验室应配备相应的防护设施，制定相应的应急预案，配置现场急救用品和消防设施等。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第四条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使用加热设备的实验室应充分考虑用电安全。使用大功率加热设备，电力负荷不足的，应与后勤保障中心协调解决后方可安装调试；对于意外停电可能造成的危险应充分考虑并加以防范。</w:t>
      </w:r>
    </w:p>
    <w:p w:rsidR="00A441FC" w:rsidRDefault="00D75F8E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第五条</w:t>
      </w:r>
      <w:r w:rsidRPr="00D75F8E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实验室加热设备的使用人是加热设备安全管理的直接责任人。</w:t>
      </w:r>
    </w:p>
    <w:p w:rsidR="00D75F8E" w:rsidRDefault="00D75F8E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第六条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 xml:space="preserve"> 实验室加热设备原则上在使用时不得无人值守，应派人现场值班。</w:t>
      </w:r>
    </w:p>
    <w:p w:rsidR="00EC14B7" w:rsidRDefault="00D75F8E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第七条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 xml:space="preserve"> 加热设备需要夜间运行或者2</w:t>
      </w:r>
      <w:r>
        <w:rPr>
          <w:rFonts w:ascii="仿宋" w:eastAsia="仿宋" w:hAnsi="仿宋" w:cs="宋体"/>
          <w:color w:val="1F1F1F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小时不间断运行，且是无人值守状态进行实验的，应当经资产与实验室管理处批准方可进行。</w:t>
      </w:r>
    </w:p>
    <w:p w:rsidR="00D75F8E" w:rsidRDefault="00EC14B7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lastRenderedPageBreak/>
        <w:t>第八条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 xml:space="preserve"> 加热设备实验过程应全程视频监控</w:t>
      </w:r>
      <w:r w:rsidR="00D75F8E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，相关监控信息可以直接传送至保卫部门。</w:t>
      </w:r>
    </w:p>
    <w:p w:rsidR="00EC14B7" w:rsidRPr="00EC14B7" w:rsidRDefault="00EC14B7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第二章 加热浴锅的安全使用与管理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九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使用油浴锅、沙浴锅、金属浴锅、水浴锅等加热设备前，应先加入适量的加热介质后才能通电。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十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在加热浴锅周边醒目位置张贴高温警示标识，并有必要的防护措施。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十一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加热浴锅在运行时，禁止触摸内胆、板盖等部件，防止被烫伤。禁止向油浴锅、沙浴锅、金属浴锅等加入水、易燃易爆液体。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十二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加热浴锅使用完毕，应立即切断电源，拔掉电源插头。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十三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要保持浴锅清洁，按期洗刷、防止生锈和防止介质泄漏或漏电。介质要经常更换。如较长时间停用，浴锅中的介质要妥善处理。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第三章 烘箱及电阻炉等加热设备安全使用与管理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四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烘箱及电阻炉等加热设备应放置在通风干燥处，周围不得存放易燃、易爆、易挥发性化学品和纸板、泡沫、塑料等易燃物品，不能放置冰箱、气体钢瓶等设备，不得堆放杂物。烘箱的进风口和出风口位置应保持通畅，热风出口及上方应避免任何形式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lastRenderedPageBreak/>
        <w:t>的布线。应在烘箱、电阻炉等加热设备旁醒目位置张贴高温警示标识。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五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烘箱、电阻炉等加热设备必须制定安全操作规程，张贴在设备旁醒目位置，配备必要的防护措施，并对使用人员进行安全操作培训，确保使用人员正确使用。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六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使用烘箱、电阻炉等加热设备时，须加强观察，一般至少每隔10~15分钟应观察1次，或有实时监控设施，严禁无人监管运行。使用中的烘箱、电阻炉须标识使用人姓名。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七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在加热设备中放置物品严禁遮挡测温元件。严禁将易燃、易爆、易挥发性物品置于普通烘箱中加热，以免发生爆炸、火灾等事故。如特殊情况确需加热上述物品，操作人员必须严格按照相关的操作规程在真空烘箱中进行加热，并做好安全防范和应急处置措施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八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电阻炉时试样应放在炉膛中间，整齐放好，切勿乱放。禁止向炉膛内灌注任何液体；不得向炉膛内放置易燃易爆等危险物品；不得将沾有水和油的试样放入炉膛；不得用沾有水和油的夹子装取试样。电阻炉使用时切勿超过其设定的最高温度。炉门开启时间应尽量短，以延长电炉使用寿命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九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经常保持设备内及周围环境清洁。泄压盖或散热板等附近不能放置任何物品，注意其容易发生危险的范围内人员和其他事物的安全。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lastRenderedPageBreak/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二十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烘箱、电阻炉不可使用接线板供电。从加热设备内取出试样时一定要切断电源，以防触电；装取试样时要戴专用手套，以防烫伤；未经许可不得随便触摸开启的加热设备及周围的试样。使用完毕后应及时切断电源，并确认其冷却至安全温度方可离开。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二十一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在对设备进行检修、修理之前须关闭电源。检修与修理必须由专业人员进行。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第四章 明火电炉的安全使用与管理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二十二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实验室原则上不得使用明火电炉，应使用密封电炉、电陶炉、电磁炉等加热设备替代。确需使用明火电炉进行实验的，须</w:t>
      </w:r>
      <w:r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根据学校消防安全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的相关要求，办理审批手续。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二十三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使用明火电炉的实验室，必须在使用场所配备灭火器、沙桶（箱）等灭火设施。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四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明火电炉使用2米范围内，严禁堆放易燃易爆物品、气体钢瓶和易燃杂物，确保明火电炉的使用安全。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五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明火电炉责任人必须对明火电炉进行定期检查，及时检修，确保使用安全。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第五章 其他加热设备的安全使用与管理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六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电磁炉加热液体时，液体不可加的过满，避免液体沸腾外溢。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lastRenderedPageBreak/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七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通电的电烙铁不使用时，应摆放在烙铁架上，防止烙铁头引燃物品或有其它不安全事故发生。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八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电磁炉、电烙铁、电吹风、热风枪、电热水壶、微波炉等加热设备使用完毕应立即切断电源，拔掉电源插头。</w:t>
      </w:r>
    </w:p>
    <w:p w:rsidR="00A441FC" w:rsidRDefault="00A441FC" w:rsidP="00A441FC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第二十</w:t>
      </w:r>
      <w:r w:rsidR="00EC14B7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九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不得将刚使用完毕的电吹风、热风枪、电烙铁立即收纳起来，应搁置到室温后再进行收存。</w:t>
      </w:r>
    </w:p>
    <w:p w:rsidR="00A441FC" w:rsidRDefault="00A441FC" w:rsidP="00A441FC">
      <w:pPr>
        <w:widowControl/>
        <w:spacing w:line="555" w:lineRule="atLeast"/>
        <w:jc w:val="center"/>
        <w:outlineLvl w:val="1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441FC" w:rsidRPr="00A441FC" w:rsidRDefault="00A441FC" w:rsidP="00A441FC">
      <w:pPr>
        <w:widowControl/>
        <w:spacing w:line="55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A441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第七章 附则</w:t>
      </w:r>
    </w:p>
    <w:p w:rsidR="00A441FC" w:rsidRPr="00A441FC" w:rsidRDefault="00A441FC" w:rsidP="00A441FC">
      <w:pPr>
        <w:widowControl/>
        <w:spacing w:line="555" w:lineRule="atLeast"/>
        <w:ind w:firstLine="600"/>
        <w:jc w:val="left"/>
        <w:rPr>
          <w:rFonts w:ascii="微软雅黑" w:eastAsia="微软雅黑" w:hAnsi="微软雅黑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507B06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三十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对于违反本规定或因管理不善、违规操作等造成安全事故的，学校将</w:t>
      </w:r>
      <w:r w:rsidR="000047E1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依据《</w:t>
      </w:r>
      <w:r w:rsidR="000047E1" w:rsidRPr="000047E1">
        <w:rPr>
          <w:rFonts w:ascii="仿宋" w:eastAsia="仿宋" w:hAnsi="仿宋" w:cs="宋体"/>
          <w:color w:val="1F1F1F"/>
          <w:kern w:val="0"/>
          <w:sz w:val="28"/>
          <w:szCs w:val="28"/>
        </w:rPr>
        <w:t>上海电机学院实验室安全责任追究办法</w:t>
      </w:r>
      <w:r w:rsidR="000047E1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》之规定，</w:t>
      </w:r>
      <w:r w:rsidRPr="00A441FC">
        <w:rPr>
          <w:rFonts w:ascii="仿宋" w:eastAsia="仿宋" w:hAnsi="仿宋" w:cs="宋体" w:hint="eastAsia"/>
          <w:color w:val="1F1F1F"/>
          <w:kern w:val="0"/>
          <w:sz w:val="28"/>
          <w:szCs w:val="28"/>
        </w:rPr>
        <w:t>追究相关人员责任。构成违法的，由有关部门依法追究其法律责任。</w:t>
      </w:r>
    </w:p>
    <w:p w:rsidR="00A441FC" w:rsidRDefault="00A441FC" w:rsidP="00EC14B7">
      <w:pPr>
        <w:widowControl/>
        <w:spacing w:line="555" w:lineRule="atLeast"/>
        <w:ind w:firstLine="600"/>
        <w:jc w:val="left"/>
        <w:rPr>
          <w:rFonts w:ascii="仿宋" w:eastAsia="仿宋" w:hAnsi="仿宋" w:cs="宋体"/>
          <w:color w:val="1F1F1F"/>
          <w:kern w:val="0"/>
          <w:sz w:val="28"/>
          <w:szCs w:val="28"/>
        </w:rPr>
      </w:pP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第</w:t>
      </w:r>
      <w:r w:rsidR="00507B06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三十一</w:t>
      </w:r>
      <w:r w:rsidRPr="00A441FC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条 </w:t>
      </w:r>
      <w:r w:rsidR="000047E1" w:rsidRPr="000047E1">
        <w:rPr>
          <w:rFonts w:ascii="仿宋" w:eastAsia="仿宋" w:hAnsi="仿宋" w:cs="宋体"/>
          <w:color w:val="1F1F1F"/>
          <w:kern w:val="0"/>
          <w:sz w:val="28"/>
          <w:szCs w:val="28"/>
        </w:rPr>
        <w:t>本办法自发布之日起执行，由资产与实验室管理处负责解释。</w:t>
      </w:r>
    </w:p>
    <w:sectPr w:rsidR="00A441FC" w:rsidSect="0057429A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756" w:rsidRDefault="009D1756" w:rsidP="00A1129E">
      <w:r>
        <w:separator/>
      </w:r>
    </w:p>
  </w:endnote>
  <w:endnote w:type="continuationSeparator" w:id="0">
    <w:p w:rsidR="009D1756" w:rsidRDefault="009D1756" w:rsidP="00A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roma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75027300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A1129E" w:rsidRDefault="00A1129E" w:rsidP="00C6321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1129E" w:rsidRDefault="00A112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11374490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A1129E" w:rsidRDefault="00A1129E" w:rsidP="00C6321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A1129E" w:rsidRDefault="00A112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756" w:rsidRDefault="009D1756" w:rsidP="00A1129E">
      <w:r>
        <w:separator/>
      </w:r>
    </w:p>
  </w:footnote>
  <w:footnote w:type="continuationSeparator" w:id="0">
    <w:p w:rsidR="009D1756" w:rsidRDefault="009D1756" w:rsidP="00A1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C"/>
    <w:rsid w:val="000047E1"/>
    <w:rsid w:val="001C64FC"/>
    <w:rsid w:val="00442AD9"/>
    <w:rsid w:val="00507B06"/>
    <w:rsid w:val="005112B1"/>
    <w:rsid w:val="0057429A"/>
    <w:rsid w:val="009C4BCF"/>
    <w:rsid w:val="009D1756"/>
    <w:rsid w:val="009E0664"/>
    <w:rsid w:val="009E27B0"/>
    <w:rsid w:val="00A1129E"/>
    <w:rsid w:val="00A441FC"/>
    <w:rsid w:val="00AD5DD4"/>
    <w:rsid w:val="00CC62B9"/>
    <w:rsid w:val="00D75F8E"/>
    <w:rsid w:val="00E930FD"/>
    <w:rsid w:val="00E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C491"/>
  <w15:chartTrackingRefBased/>
  <w15:docId w15:val="{921C399C-D3B6-344E-9129-7E79580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441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441F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A4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441FC"/>
    <w:rPr>
      <w:b/>
      <w:bCs/>
    </w:rPr>
  </w:style>
  <w:style w:type="paragraph" w:styleId="a6">
    <w:name w:val="footer"/>
    <w:basedOn w:val="a"/>
    <w:link w:val="a7"/>
    <w:uiPriority w:val="99"/>
    <w:unhideWhenUsed/>
    <w:rsid w:val="00A1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29E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A1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佳斌</dc:creator>
  <cp:keywords/>
  <dc:description/>
  <cp:lastModifiedBy>李 佳斌</cp:lastModifiedBy>
  <cp:revision>10</cp:revision>
  <cp:lastPrinted>2020-05-26T00:39:00Z</cp:lastPrinted>
  <dcterms:created xsi:type="dcterms:W3CDTF">2020-05-14T01:44:00Z</dcterms:created>
  <dcterms:modified xsi:type="dcterms:W3CDTF">2020-06-24T01:52:00Z</dcterms:modified>
</cp:coreProperties>
</file>