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sz w:val="28"/>
          <w:szCs w:val="28"/>
        </w:rPr>
      </w:pPr>
      <w:r>
        <w:rPr>
          <w:rFonts w:hint="eastAsia" w:ascii="仿宋_GB2312" w:eastAsia="仿宋_GB2312"/>
          <w:sz w:val="28"/>
          <w:szCs w:val="28"/>
        </w:rPr>
        <w:t>附件1：</w:t>
      </w:r>
    </w:p>
    <w:p>
      <w:pPr>
        <w:spacing w:after="312" w:afterLines="100" w:line="480" w:lineRule="exact"/>
        <w:jc w:val="center"/>
        <w:rPr>
          <w:rFonts w:ascii="黑体" w:eastAsia="黑体"/>
          <w:sz w:val="36"/>
          <w:szCs w:val="28"/>
        </w:rPr>
      </w:pPr>
      <w:r>
        <w:rPr>
          <w:rFonts w:hint="eastAsia" w:ascii="黑体" w:eastAsia="黑体"/>
          <w:sz w:val="36"/>
          <w:szCs w:val="28"/>
        </w:rPr>
        <w:t>通识</w:t>
      </w:r>
      <w:r>
        <w:rPr>
          <w:rFonts w:hint="eastAsia" w:ascii="黑体" w:eastAsia="黑体"/>
          <w:sz w:val="36"/>
          <w:szCs w:val="28"/>
          <w:lang w:eastAsia="zh-CN"/>
        </w:rPr>
        <w:t>选修</w:t>
      </w:r>
      <w:r>
        <w:rPr>
          <w:rFonts w:hint="eastAsia" w:ascii="黑体" w:eastAsia="黑体"/>
          <w:sz w:val="36"/>
          <w:szCs w:val="28"/>
        </w:rPr>
        <w:t>课开课申请指南</w:t>
      </w:r>
    </w:p>
    <w:p>
      <w:pPr>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一</w:t>
      </w:r>
      <w:bookmarkStart w:id="0" w:name="_GoBack"/>
      <w:bookmarkEnd w:id="0"/>
      <w:r>
        <w:rPr>
          <w:rFonts w:ascii="楷体_GB2312" w:eastAsia="楷体_GB2312"/>
          <w:b/>
          <w:sz w:val="28"/>
          <w:szCs w:val="28"/>
        </w:rPr>
        <w:t>、</w:t>
      </w:r>
      <w:r>
        <w:rPr>
          <w:rFonts w:hint="eastAsia" w:ascii="楷体_GB2312" w:eastAsia="楷体_GB2312"/>
          <w:b/>
          <w:sz w:val="28"/>
          <w:szCs w:val="28"/>
        </w:rPr>
        <w:t>新开课程的申报</w:t>
      </w:r>
    </w:p>
    <w:p>
      <w:pPr>
        <w:adjustRightInd w:val="0"/>
        <w:snapToGrid w:val="0"/>
        <w:spacing w:after="156" w:afterLines="50" w:line="480" w:lineRule="exact"/>
        <w:ind w:firstLine="560" w:firstLineChars="200"/>
        <w:rPr>
          <w:rFonts w:ascii="仿宋" w:hAnsi="仿宋" w:eastAsia="仿宋"/>
          <w:bCs/>
          <w:sz w:val="28"/>
          <w:szCs w:val="28"/>
        </w:rPr>
      </w:pPr>
      <w:r>
        <w:rPr>
          <w:rFonts w:hint="eastAsia" w:ascii="仿宋" w:hAnsi="仿宋" w:eastAsia="仿宋"/>
          <w:bCs/>
          <w:sz w:val="28"/>
          <w:szCs w:val="28"/>
        </w:rPr>
        <w:t>通识</w:t>
      </w:r>
      <w:r>
        <w:rPr>
          <w:rFonts w:hint="eastAsia" w:ascii="仿宋" w:hAnsi="仿宋" w:eastAsia="仿宋"/>
          <w:bCs/>
          <w:sz w:val="28"/>
          <w:szCs w:val="28"/>
          <w:lang w:eastAsia="zh-CN"/>
        </w:rPr>
        <w:t>选修</w:t>
      </w:r>
      <w:r>
        <w:rPr>
          <w:rFonts w:hint="eastAsia" w:ascii="仿宋" w:hAnsi="仿宋" w:eastAsia="仿宋"/>
          <w:bCs/>
          <w:sz w:val="28"/>
          <w:szCs w:val="28"/>
        </w:rPr>
        <w:t>课程分为人文素养</w:t>
      </w:r>
      <w:r>
        <w:rPr>
          <w:rFonts w:ascii="仿宋" w:hAnsi="仿宋" w:eastAsia="仿宋"/>
          <w:bCs/>
          <w:sz w:val="28"/>
          <w:szCs w:val="28"/>
        </w:rPr>
        <w:t>、社会经济、</w:t>
      </w:r>
      <w:r>
        <w:rPr>
          <w:rFonts w:hint="eastAsia" w:ascii="仿宋" w:hAnsi="仿宋" w:eastAsia="仿宋"/>
          <w:bCs/>
          <w:sz w:val="28"/>
          <w:szCs w:val="28"/>
        </w:rPr>
        <w:t>工程</w:t>
      </w:r>
      <w:r>
        <w:rPr>
          <w:rFonts w:ascii="仿宋" w:hAnsi="仿宋" w:eastAsia="仿宋"/>
          <w:bCs/>
          <w:sz w:val="28"/>
          <w:szCs w:val="28"/>
        </w:rPr>
        <w:t>技术、创新创业四</w:t>
      </w:r>
      <w:r>
        <w:rPr>
          <w:rFonts w:hint="eastAsia" w:ascii="仿宋" w:hAnsi="仿宋" w:eastAsia="仿宋"/>
          <w:bCs/>
          <w:sz w:val="28"/>
          <w:szCs w:val="28"/>
        </w:rPr>
        <w:t>大类。一般1门通识课程为2学分、32学时。新开课程应符合通识课程遴选标准，任课教师应符合通识课程任课教师条件。教师填写《通识</w:t>
      </w:r>
      <w:r>
        <w:rPr>
          <w:rFonts w:hint="eastAsia" w:ascii="仿宋" w:hAnsi="仿宋" w:eastAsia="仿宋"/>
          <w:bCs/>
          <w:sz w:val="28"/>
          <w:szCs w:val="28"/>
          <w:lang w:eastAsia="zh-CN"/>
        </w:rPr>
        <w:t>选修</w:t>
      </w:r>
      <w:r>
        <w:rPr>
          <w:rFonts w:hint="eastAsia" w:ascii="仿宋" w:hAnsi="仿宋" w:eastAsia="仿宋"/>
          <w:bCs/>
          <w:sz w:val="28"/>
          <w:szCs w:val="28"/>
        </w:rPr>
        <w:t>课程开课申请表</w:t>
      </w:r>
      <w:r>
        <w:rPr>
          <w:rFonts w:hint="eastAsia" w:ascii="仿宋" w:hAnsi="仿宋" w:eastAsia="仿宋"/>
          <w:bCs/>
          <w:sz w:val="28"/>
          <w:szCs w:val="28"/>
          <w:lang w:eastAsia="zh-CN"/>
        </w:rPr>
        <w:t>（</w:t>
      </w:r>
      <w:r>
        <w:rPr>
          <w:rFonts w:hint="eastAsia" w:ascii="仿宋" w:hAnsi="仿宋" w:eastAsia="仿宋"/>
          <w:bCs/>
          <w:sz w:val="28"/>
          <w:szCs w:val="28"/>
          <w:lang w:val="en-US" w:eastAsia="zh-CN"/>
        </w:rPr>
        <w:t>2021年</w:t>
      </w:r>
      <w:r>
        <w:rPr>
          <w:rFonts w:hint="eastAsia" w:ascii="仿宋" w:hAnsi="仿宋" w:eastAsia="仿宋"/>
          <w:bCs/>
          <w:sz w:val="28"/>
          <w:szCs w:val="28"/>
          <w:lang w:eastAsia="zh-CN"/>
        </w:rPr>
        <w:t>）</w:t>
      </w:r>
      <w:r>
        <w:rPr>
          <w:rFonts w:hint="eastAsia" w:ascii="仿宋" w:hAnsi="仿宋" w:eastAsia="仿宋"/>
          <w:bCs/>
          <w:sz w:val="28"/>
          <w:szCs w:val="28"/>
        </w:rPr>
        <w:t>》，二级学院（教学部）初审，然后由</w:t>
      </w:r>
      <w:r>
        <w:rPr>
          <w:rFonts w:hint="eastAsia" w:ascii="仿宋" w:hAnsi="仿宋" w:eastAsia="仿宋"/>
          <w:bCs/>
          <w:sz w:val="28"/>
          <w:szCs w:val="28"/>
          <w:lang w:eastAsia="zh-CN"/>
        </w:rPr>
        <w:t>文理学院</w:t>
      </w:r>
      <w:r>
        <w:rPr>
          <w:rFonts w:hint="eastAsia" w:ascii="仿宋" w:hAnsi="仿宋" w:eastAsia="仿宋"/>
          <w:bCs/>
          <w:sz w:val="28"/>
          <w:szCs w:val="28"/>
        </w:rPr>
        <w:t>对照通识</w:t>
      </w:r>
      <w:r>
        <w:rPr>
          <w:rFonts w:hint="eastAsia" w:ascii="仿宋" w:hAnsi="仿宋" w:eastAsia="仿宋"/>
          <w:bCs/>
          <w:sz w:val="28"/>
          <w:szCs w:val="28"/>
          <w:lang w:eastAsia="zh-CN"/>
        </w:rPr>
        <w:t>选修</w:t>
      </w:r>
      <w:r>
        <w:rPr>
          <w:rFonts w:hint="eastAsia" w:ascii="仿宋" w:hAnsi="仿宋" w:eastAsia="仿宋"/>
          <w:bCs/>
          <w:sz w:val="28"/>
          <w:szCs w:val="28"/>
        </w:rPr>
        <w:t>课程遴选标准、任课教师应具备的条件组织评定，并由学校课程建设委员会审核。必要时可组织对申请教师进行面试和部分章节内容试讲。审核通过后，教师方可进行该课程的学生</w:t>
      </w:r>
      <w:r>
        <w:rPr>
          <w:rFonts w:ascii="仿宋" w:hAnsi="仿宋" w:eastAsia="仿宋"/>
          <w:bCs/>
          <w:sz w:val="28"/>
          <w:szCs w:val="28"/>
        </w:rPr>
        <w:t>选课环节</w:t>
      </w:r>
      <w:r>
        <w:rPr>
          <w:rFonts w:hint="eastAsia" w:ascii="仿宋" w:hAnsi="仿宋" w:eastAsia="仿宋"/>
          <w:bCs/>
          <w:sz w:val="28"/>
          <w:szCs w:val="28"/>
        </w:rPr>
        <w:t>。</w:t>
      </w:r>
    </w:p>
    <w:p>
      <w:pPr>
        <w:adjustRightInd w:val="0"/>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二</w:t>
      </w:r>
      <w:r>
        <w:rPr>
          <w:rFonts w:ascii="楷体_GB2312" w:eastAsia="楷体_GB2312"/>
          <w:b/>
          <w:sz w:val="28"/>
          <w:szCs w:val="28"/>
        </w:rPr>
        <w:t>、</w:t>
      </w:r>
      <w:r>
        <w:rPr>
          <w:rFonts w:hint="eastAsia" w:ascii="楷体_GB2312" w:eastAsia="楷体_GB2312"/>
          <w:b/>
          <w:sz w:val="28"/>
          <w:szCs w:val="28"/>
        </w:rPr>
        <w:t>课程遴选标准</w:t>
      </w:r>
    </w:p>
    <w:p>
      <w:pPr>
        <w:snapToGrid w:val="0"/>
        <w:spacing w:afterAutospacing="0" w:line="480" w:lineRule="exact"/>
        <w:ind w:firstLine="560" w:firstLineChars="200"/>
        <w:rPr>
          <w:rFonts w:ascii="仿宋_GB2312" w:eastAsia="仿宋_GB2312"/>
          <w:sz w:val="28"/>
          <w:szCs w:val="28"/>
        </w:rPr>
      </w:pPr>
      <w:r>
        <w:rPr>
          <w:rFonts w:hint="eastAsia" w:ascii="仿宋_GB2312" w:eastAsia="仿宋_GB2312"/>
          <w:sz w:val="28"/>
          <w:szCs w:val="28"/>
        </w:rPr>
        <w:t>1.符合学校课程建设总体规划和通识</w:t>
      </w:r>
      <w:r>
        <w:rPr>
          <w:rFonts w:hint="eastAsia" w:ascii="仿宋_GB2312" w:eastAsia="仿宋_GB2312"/>
          <w:sz w:val="28"/>
          <w:szCs w:val="28"/>
          <w:lang w:eastAsia="zh-CN"/>
        </w:rPr>
        <w:t>选修</w:t>
      </w:r>
      <w:r>
        <w:rPr>
          <w:rFonts w:hint="eastAsia" w:ascii="仿宋_GB2312" w:eastAsia="仿宋_GB2312"/>
          <w:sz w:val="28"/>
          <w:szCs w:val="28"/>
        </w:rPr>
        <w:t>课程教学目标；</w:t>
      </w:r>
    </w:p>
    <w:p>
      <w:pPr>
        <w:snapToGrid w:val="0"/>
        <w:spacing w:beforeAutospacing="0" w:afterAutospacing="0" w:line="48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有利于提升学生的人文素养和创新能力</w:t>
      </w:r>
      <w:r>
        <w:rPr>
          <w:rFonts w:hint="eastAsia" w:ascii="仿宋_GB2312" w:eastAsia="仿宋_GB2312"/>
          <w:sz w:val="28"/>
          <w:szCs w:val="28"/>
        </w:rPr>
        <w:t>；</w:t>
      </w:r>
    </w:p>
    <w:p>
      <w:pPr>
        <w:snapToGrid w:val="0"/>
        <w:spacing w:beforeAutospacing="0" w:afterAutospacing="0" w:line="48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有利于促进不同学科间的交叉渗透</w:t>
      </w:r>
      <w:r>
        <w:rPr>
          <w:rFonts w:hint="eastAsia" w:ascii="仿宋_GB2312" w:eastAsia="仿宋_GB2312"/>
          <w:sz w:val="28"/>
          <w:szCs w:val="28"/>
        </w:rPr>
        <w:t>；</w:t>
      </w:r>
    </w:p>
    <w:p>
      <w:pPr>
        <w:snapToGrid w:val="0"/>
        <w:spacing w:beforeAutospacing="0" w:afterAutospacing="0" w:line="480" w:lineRule="exact"/>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有利于</w:t>
      </w:r>
      <w:r>
        <w:rPr>
          <w:rFonts w:hint="eastAsia" w:ascii="仿宋_GB2312" w:eastAsia="仿宋_GB2312"/>
          <w:sz w:val="28"/>
          <w:szCs w:val="28"/>
        </w:rPr>
        <w:t>拓宽</w:t>
      </w:r>
      <w:r>
        <w:rPr>
          <w:rFonts w:ascii="仿宋_GB2312" w:eastAsia="仿宋_GB2312"/>
          <w:sz w:val="28"/>
          <w:szCs w:val="28"/>
        </w:rPr>
        <w:t>学生</w:t>
      </w:r>
      <w:r>
        <w:rPr>
          <w:rFonts w:hint="eastAsia" w:ascii="仿宋_GB2312" w:eastAsia="仿宋_GB2312"/>
          <w:sz w:val="28"/>
          <w:szCs w:val="28"/>
        </w:rPr>
        <w:t>知识</w:t>
      </w:r>
      <w:r>
        <w:rPr>
          <w:rFonts w:ascii="仿宋_GB2312" w:eastAsia="仿宋_GB2312"/>
          <w:sz w:val="28"/>
          <w:szCs w:val="28"/>
        </w:rPr>
        <w:t>面</w:t>
      </w:r>
      <w:r>
        <w:rPr>
          <w:rFonts w:hint="eastAsia" w:ascii="仿宋_GB2312" w:eastAsia="仿宋_GB2312"/>
          <w:sz w:val="28"/>
          <w:szCs w:val="28"/>
        </w:rPr>
        <w:t>，</w:t>
      </w:r>
      <w:r>
        <w:rPr>
          <w:rFonts w:ascii="仿宋_GB2312" w:eastAsia="仿宋_GB2312"/>
          <w:sz w:val="28"/>
          <w:szCs w:val="28"/>
        </w:rPr>
        <w:t>了解学科发展前沿</w:t>
      </w:r>
      <w:r>
        <w:rPr>
          <w:rFonts w:hint="eastAsia" w:ascii="仿宋_GB2312" w:eastAsia="仿宋_GB2312"/>
          <w:sz w:val="28"/>
          <w:szCs w:val="28"/>
        </w:rPr>
        <w:t>；</w:t>
      </w:r>
    </w:p>
    <w:p>
      <w:pPr>
        <w:snapToGrid w:val="0"/>
        <w:spacing w:beforeAutospacing="0" w:afterAutospacing="0" w:line="480" w:lineRule="exact"/>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有利于体现本校办学传统与特色</w:t>
      </w:r>
      <w:r>
        <w:rPr>
          <w:rFonts w:hint="eastAsia" w:ascii="仿宋_GB2312" w:eastAsia="仿宋_GB2312"/>
          <w:sz w:val="28"/>
          <w:szCs w:val="28"/>
        </w:rPr>
        <w:t>；</w:t>
      </w:r>
    </w:p>
    <w:p>
      <w:pPr>
        <w:snapToGrid w:val="0"/>
        <w:spacing w:beforeAutospacing="0" w:afterAutospacing="0" w:line="480" w:lineRule="exact"/>
        <w:ind w:firstLine="560" w:firstLineChars="200"/>
        <w:rPr>
          <w:rFonts w:ascii="仿宋_GB2312" w:eastAsia="仿宋_GB2312"/>
          <w:sz w:val="28"/>
          <w:szCs w:val="28"/>
        </w:rPr>
      </w:pPr>
      <w:r>
        <w:rPr>
          <w:rFonts w:hint="eastAsia" w:ascii="仿宋_GB2312" w:eastAsia="仿宋_GB2312"/>
          <w:sz w:val="28"/>
          <w:szCs w:val="28"/>
        </w:rPr>
        <w:t>6.鼓励教授开设高质量的通识课程;</w:t>
      </w:r>
    </w:p>
    <w:p>
      <w:pPr>
        <w:snapToGrid w:val="0"/>
        <w:spacing w:beforeAutospacing="0" w:after="159" w:afterLines="50" w:afterAutospacing="0" w:line="480" w:lineRule="exact"/>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鼓励教师</w:t>
      </w:r>
      <w:r>
        <w:rPr>
          <w:rFonts w:ascii="仿宋_GB2312" w:eastAsia="仿宋_GB2312"/>
          <w:sz w:val="28"/>
          <w:szCs w:val="28"/>
        </w:rPr>
        <w:t>开设创新创业类课程。</w:t>
      </w:r>
    </w:p>
    <w:p>
      <w:pPr>
        <w:snapToGrid w:val="0"/>
        <w:spacing w:beforeAutospacing="0"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三</w:t>
      </w:r>
      <w:r>
        <w:rPr>
          <w:rFonts w:ascii="楷体_GB2312" w:eastAsia="楷体_GB2312"/>
          <w:b/>
          <w:sz w:val="28"/>
          <w:szCs w:val="28"/>
        </w:rPr>
        <w:t>、</w:t>
      </w:r>
      <w:r>
        <w:rPr>
          <w:rFonts w:hint="eastAsia" w:ascii="楷体_GB2312" w:eastAsia="楷体_GB2312"/>
          <w:b/>
          <w:sz w:val="28"/>
          <w:szCs w:val="28"/>
        </w:rPr>
        <w:t>任课教师应具备的条件</w:t>
      </w:r>
    </w:p>
    <w:p>
      <w:pPr>
        <w:adjustRightInd w:val="0"/>
        <w:snapToGrid w:val="0"/>
        <w:spacing w:afterAutospacing="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1.须具有中级及以上职称或研究生及以上学历，并获得高校</w:t>
      </w:r>
      <w:r>
        <w:rPr>
          <w:rFonts w:hint="eastAsia" w:ascii="仿宋" w:hAnsi="仿宋" w:eastAsia="仿宋"/>
          <w:sz w:val="28"/>
          <w:szCs w:val="28"/>
        </w:rPr>
        <w:t>教师资格证书</w:t>
      </w:r>
      <w:r>
        <w:rPr>
          <w:rFonts w:hint="eastAsia" w:ascii="仿宋" w:hAnsi="仿宋" w:eastAsia="仿宋" w:cs="宋体"/>
          <w:kern w:val="0"/>
          <w:sz w:val="28"/>
          <w:szCs w:val="28"/>
        </w:rPr>
        <w:t>；</w:t>
      </w:r>
    </w:p>
    <w:p>
      <w:pPr>
        <w:adjustRightInd w:val="0"/>
        <w:snapToGrid w:val="0"/>
        <w:spacing w:beforeAutospacing="0" w:afterAutospacing="0" w:line="480" w:lineRule="exact"/>
        <w:ind w:firstLine="560" w:firstLineChars="200"/>
        <w:rPr>
          <w:rFonts w:ascii="仿宋" w:hAnsi="仿宋" w:eastAsia="仿宋"/>
          <w:bCs/>
          <w:sz w:val="28"/>
          <w:szCs w:val="28"/>
        </w:rPr>
      </w:pPr>
      <w:r>
        <w:rPr>
          <w:rFonts w:hint="eastAsia" w:ascii="仿宋" w:hAnsi="仿宋" w:eastAsia="仿宋" w:cs="宋体"/>
          <w:kern w:val="0"/>
          <w:sz w:val="28"/>
          <w:szCs w:val="28"/>
        </w:rPr>
        <w:t>2.应有高深学术造诣，知识面广；具备承担该课程教学工作所必备的素质和能力；</w:t>
      </w:r>
    </w:p>
    <w:p>
      <w:pPr>
        <w:adjustRightInd w:val="0"/>
        <w:snapToGrid w:val="0"/>
        <w:spacing w:beforeAutospacing="0" w:afterAutospacing="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3.任课教师对申报课程有深度的研究，已开课或有相近课程的任教经历；</w:t>
      </w:r>
    </w:p>
    <w:p>
      <w:pPr>
        <w:adjustRightInd w:val="0"/>
        <w:snapToGrid w:val="0"/>
        <w:spacing w:beforeAutospacing="0"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4.每学年至少有开设一个班次的能力，</w:t>
      </w:r>
      <w:r>
        <w:rPr>
          <w:rFonts w:hint="eastAsia" w:ascii="仿宋" w:hAnsi="仿宋" w:eastAsia="仿宋"/>
          <w:sz w:val="28"/>
          <w:szCs w:val="28"/>
        </w:rPr>
        <w:t>每位教师每学期开设通识课程一般不超过2门次</w:t>
      </w:r>
      <w:r>
        <w:rPr>
          <w:rFonts w:hint="eastAsia" w:ascii="仿宋" w:hAnsi="仿宋" w:eastAsia="仿宋" w:cs="宋体"/>
          <w:kern w:val="0"/>
          <w:sz w:val="28"/>
          <w:szCs w:val="28"/>
        </w:rPr>
        <w:t>。</w:t>
      </w:r>
    </w:p>
    <w:p>
      <w:pPr>
        <w:snapToGrid w:val="0"/>
        <w:spacing w:after="156" w:afterLines="50" w:line="480" w:lineRule="exact"/>
        <w:ind w:firstLine="562" w:firstLineChars="200"/>
        <w:rPr>
          <w:rFonts w:ascii="楷体_GB2312" w:eastAsia="楷体_GB2312"/>
          <w:b/>
          <w:sz w:val="28"/>
          <w:szCs w:val="28"/>
        </w:rPr>
      </w:pPr>
      <w:r>
        <w:rPr>
          <w:rFonts w:hint="eastAsia" w:ascii="楷体_GB2312" w:eastAsia="楷体_GB2312"/>
          <w:b/>
          <w:sz w:val="28"/>
          <w:szCs w:val="28"/>
        </w:rPr>
        <w:t>四</w:t>
      </w:r>
      <w:r>
        <w:rPr>
          <w:rFonts w:ascii="楷体_GB2312" w:eastAsia="楷体_GB2312"/>
          <w:b/>
          <w:sz w:val="28"/>
          <w:szCs w:val="28"/>
        </w:rPr>
        <w:t>、</w:t>
      </w:r>
      <w:r>
        <w:rPr>
          <w:rFonts w:hint="eastAsia" w:ascii="仿宋" w:hAnsi="仿宋" w:eastAsia="仿宋" w:cs="宋体"/>
          <w:b/>
          <w:kern w:val="0"/>
          <w:sz w:val="28"/>
          <w:szCs w:val="28"/>
        </w:rPr>
        <w:t>特别</w:t>
      </w:r>
      <w:r>
        <w:rPr>
          <w:rFonts w:ascii="仿宋" w:hAnsi="仿宋" w:eastAsia="仿宋" w:cs="宋体"/>
          <w:b/>
          <w:kern w:val="0"/>
          <w:sz w:val="28"/>
          <w:szCs w:val="28"/>
        </w:rPr>
        <w:t>注意</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w:t>
      </w:r>
      <w:r>
        <w:rPr>
          <w:rFonts w:hint="eastAsia" w:ascii="仿宋" w:hAnsi="仿宋" w:eastAsia="仿宋"/>
          <w:bCs/>
          <w:sz w:val="28"/>
          <w:szCs w:val="28"/>
        </w:rPr>
        <w:t>已审核通过的通识</w:t>
      </w:r>
      <w:r>
        <w:rPr>
          <w:rFonts w:hint="eastAsia" w:ascii="仿宋" w:hAnsi="仿宋" w:eastAsia="仿宋"/>
          <w:bCs/>
          <w:sz w:val="28"/>
          <w:szCs w:val="28"/>
          <w:lang w:eastAsia="zh-CN"/>
        </w:rPr>
        <w:t>选修</w:t>
      </w:r>
      <w:r>
        <w:rPr>
          <w:rFonts w:hint="eastAsia" w:ascii="仿宋" w:hAnsi="仿宋" w:eastAsia="仿宋"/>
          <w:bCs/>
          <w:sz w:val="28"/>
          <w:szCs w:val="28"/>
        </w:rPr>
        <w:t>课程中，2学分32学时课程不得随意变更为1学分16学时课程；1学分16学时课程不得随意变更为2学分32学时课程。学时与学分以教师填报的开课申请表并经课程委员会审核通过的课程信息为准。</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kern w:val="0"/>
          <w:sz w:val="28"/>
          <w:szCs w:val="28"/>
          <w:lang w:eastAsia="zh-CN"/>
        </w:rPr>
        <w:t>新开课程通过审核后，</w:t>
      </w:r>
      <w:r>
        <w:rPr>
          <w:rFonts w:hint="eastAsia" w:ascii="仿宋" w:hAnsi="仿宋" w:eastAsia="仿宋"/>
          <w:bCs/>
          <w:sz w:val="28"/>
          <w:szCs w:val="28"/>
        </w:rPr>
        <w:t>任课教师应为该课程审核通过时的申请教师，不能随意增加新的任课教师，如确需增加新的任课教师，应符合通识选修课程任课教师条件（具有高校教师资格证和相关学科教育背景），并向</w:t>
      </w:r>
      <w:r>
        <w:rPr>
          <w:rFonts w:hint="eastAsia" w:ascii="仿宋" w:hAnsi="仿宋" w:eastAsia="仿宋"/>
          <w:bCs/>
          <w:sz w:val="28"/>
          <w:szCs w:val="28"/>
          <w:lang w:eastAsia="zh-CN"/>
        </w:rPr>
        <w:t>文理学院</w:t>
      </w:r>
      <w:r>
        <w:rPr>
          <w:rFonts w:hint="eastAsia" w:ascii="仿宋" w:hAnsi="仿宋" w:eastAsia="仿宋"/>
          <w:bCs/>
          <w:sz w:val="28"/>
          <w:szCs w:val="28"/>
        </w:rPr>
        <w:t>提交由</w:t>
      </w:r>
      <w:r>
        <w:rPr>
          <w:rFonts w:hint="eastAsia" w:ascii="仿宋" w:hAnsi="仿宋" w:eastAsia="仿宋"/>
          <w:bCs/>
          <w:sz w:val="28"/>
          <w:szCs w:val="28"/>
          <w:lang w:eastAsia="zh-CN"/>
        </w:rPr>
        <w:t>课程所属</w:t>
      </w:r>
      <w:r>
        <w:rPr>
          <w:rFonts w:hint="eastAsia" w:ascii="仿宋" w:hAnsi="仿宋" w:eastAsia="仿宋"/>
          <w:bCs/>
          <w:sz w:val="28"/>
          <w:szCs w:val="28"/>
        </w:rPr>
        <w:t>二级学院签字盖章的书面申请，经审核通过后方可实施。</w:t>
      </w:r>
    </w:p>
    <w:p>
      <w:pPr>
        <w:adjustRightInd w:val="0"/>
        <w:snapToGrid w:val="0"/>
        <w:spacing w:after="156" w:afterLines="50"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hint="eastAsia" w:ascii="仿宋" w:hAnsi="仿宋" w:eastAsia="仿宋"/>
          <w:bCs/>
          <w:sz w:val="28"/>
          <w:szCs w:val="28"/>
        </w:rPr>
        <w:t>对于2学分32学时的课程，须按学校要求，在正常完整的理论教学周安排，如1-16周，每周2学时，不允许顺意安排。</w:t>
      </w:r>
    </w:p>
    <w:sectPr>
      <w:footerReference r:id="rId5" w:type="first"/>
      <w:footerReference r:id="rId3" w:type="default"/>
      <w:footerReference r:id="rId4" w:type="even"/>
      <w:pgSz w:w="11906" w:h="16838"/>
      <w:pgMar w:top="1440" w:right="1800" w:bottom="1440" w:left="1800" w:header="851" w:footer="1588" w:gutter="113"/>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000"/>
        <w:tab w:val="right" w:pos="9180"/>
        <w:tab w:val="clear" w:pos="8306"/>
      </w:tabs>
      <w:ind w:right="360"/>
      <w:rPr>
        <w:rFonts w:ascii="仿宋_GB2312" w:eastAsia="仿宋_GB2312"/>
        <w:sz w:val="28"/>
      </w:rPr>
    </w:pPr>
    <w:r>
      <w:rPr>
        <w:rFonts w:hint="eastAsia" w:ascii="仿宋_GB2312" w:eastAsia="仿宋_GB2312"/>
        <w:sz w:val="28"/>
      </w:rPr>
      <w:t xml:space="preserve">— </w:t>
    </w:r>
    <w:r>
      <w:rPr>
        <w:rFonts w:ascii="仿宋_GB2312"/>
        <w:sz w:val="28"/>
      </w:rPr>
      <w:fldChar w:fldCharType="begin"/>
    </w:r>
    <w:r>
      <w:rPr>
        <w:rStyle w:val="5"/>
        <w:rFonts w:ascii="仿宋_GB2312"/>
        <w:sz w:val="28"/>
      </w:rPr>
      <w:instrText xml:space="preserve"> PAGE </w:instrText>
    </w:r>
    <w:r>
      <w:rPr>
        <w:rFonts w:ascii="仿宋_GB2312"/>
        <w:sz w:val="28"/>
      </w:rPr>
      <w:fldChar w:fldCharType="separate"/>
    </w:r>
    <w:r>
      <w:rPr>
        <w:rStyle w:val="5"/>
        <w:rFonts w:ascii="仿宋_GB2312"/>
        <w:sz w:val="28"/>
      </w:rPr>
      <w:t>1</w:t>
    </w:r>
    <w:r>
      <w:rPr>
        <w:rFonts w:ascii="仿宋_GB2312"/>
        <w:sz w:val="28"/>
      </w:rPr>
      <w:fldChar w:fldCharType="end"/>
    </w:r>
    <w:r>
      <w:rPr>
        <w:rStyle w:val="5"/>
        <w:rFonts w:hint="eastAsia" w:ascii="仿宋_GB2312" w:eastAsia="仿宋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162" w:wrap="around" w:vAnchor="text" w:hAnchor="page" w:x="1522" w:y="-2"/>
      <w:ind w:firstLine="280" w:firstLineChars="100"/>
      <w:rPr>
        <w:rStyle w:val="5"/>
        <w:rFonts w:ascii="仿宋_GB2312"/>
        <w:sz w:val="28"/>
      </w:rPr>
    </w:pPr>
    <w:r>
      <w:rPr>
        <w:rStyle w:val="5"/>
        <w:rFonts w:hint="eastAsia" w:ascii="仿宋_GB2312"/>
        <w:sz w:val="28"/>
      </w:rPr>
      <w:t xml:space="preserve">— </w:t>
    </w:r>
    <w:r>
      <w:rPr>
        <w:rFonts w:ascii="仿宋_GB2312"/>
        <w:sz w:val="28"/>
      </w:rPr>
      <w:fldChar w:fldCharType="begin"/>
    </w:r>
    <w:r>
      <w:rPr>
        <w:rStyle w:val="5"/>
        <w:rFonts w:ascii="仿宋_GB2312"/>
        <w:sz w:val="28"/>
      </w:rPr>
      <w:instrText xml:space="preserve">PAGE  </w:instrText>
    </w:r>
    <w:r>
      <w:rPr>
        <w:rFonts w:ascii="仿宋_GB2312"/>
        <w:sz w:val="28"/>
      </w:rPr>
      <w:fldChar w:fldCharType="separate"/>
    </w:r>
    <w:r>
      <w:rPr>
        <w:rStyle w:val="5"/>
        <w:rFonts w:ascii="仿宋_GB2312"/>
        <w:sz w:val="28"/>
      </w:rPr>
      <w:t>8</w:t>
    </w:r>
    <w:r>
      <w:rPr>
        <w:rFonts w:ascii="仿宋_GB2312"/>
        <w:sz w:val="28"/>
      </w:rPr>
      <w:fldChar w:fldCharType="end"/>
    </w:r>
    <w:r>
      <w:rPr>
        <w:rStyle w:val="5"/>
        <w:rFonts w:hint="eastAsia" w:ascii="仿宋_GB2312"/>
        <w:sz w:val="28"/>
      </w:rPr>
      <w:t xml:space="preserve"> —</w:t>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560" w:firstLineChars="2700"/>
      <w:rPr>
        <w:rFonts w:ascii="仿宋_GB2312"/>
        <w:sz w:val="28"/>
      </w:rPr>
    </w:pPr>
    <w:r>
      <w:rPr>
        <w:rFonts w:hint="eastAsia" w:ascii="仿宋_GB2312"/>
        <w:sz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B3"/>
    <w:rsid w:val="0000509D"/>
    <w:rsid w:val="00070EC7"/>
    <w:rsid w:val="00095EFC"/>
    <w:rsid w:val="000A4678"/>
    <w:rsid w:val="000C5537"/>
    <w:rsid w:val="000D4A1A"/>
    <w:rsid w:val="000E77E4"/>
    <w:rsid w:val="000E7EF6"/>
    <w:rsid w:val="00100C67"/>
    <w:rsid w:val="00106AD3"/>
    <w:rsid w:val="00110E12"/>
    <w:rsid w:val="00162F62"/>
    <w:rsid w:val="00163420"/>
    <w:rsid w:val="00186F21"/>
    <w:rsid w:val="001872F5"/>
    <w:rsid w:val="001922A6"/>
    <w:rsid w:val="00232798"/>
    <w:rsid w:val="00262705"/>
    <w:rsid w:val="0027269E"/>
    <w:rsid w:val="0029383D"/>
    <w:rsid w:val="002C4FFB"/>
    <w:rsid w:val="002E12CF"/>
    <w:rsid w:val="002E251A"/>
    <w:rsid w:val="002F6A17"/>
    <w:rsid w:val="00313F88"/>
    <w:rsid w:val="00325425"/>
    <w:rsid w:val="003400E4"/>
    <w:rsid w:val="00346943"/>
    <w:rsid w:val="003909E0"/>
    <w:rsid w:val="003B5BA2"/>
    <w:rsid w:val="00467477"/>
    <w:rsid w:val="004710B3"/>
    <w:rsid w:val="004E053C"/>
    <w:rsid w:val="004E38A1"/>
    <w:rsid w:val="004F1C32"/>
    <w:rsid w:val="004F6C41"/>
    <w:rsid w:val="00507207"/>
    <w:rsid w:val="00521528"/>
    <w:rsid w:val="00526A56"/>
    <w:rsid w:val="005341C6"/>
    <w:rsid w:val="00535AAF"/>
    <w:rsid w:val="00582B00"/>
    <w:rsid w:val="005962AB"/>
    <w:rsid w:val="005C5638"/>
    <w:rsid w:val="005C582A"/>
    <w:rsid w:val="005E0A15"/>
    <w:rsid w:val="00601D83"/>
    <w:rsid w:val="00624844"/>
    <w:rsid w:val="00635A23"/>
    <w:rsid w:val="006D4699"/>
    <w:rsid w:val="00731598"/>
    <w:rsid w:val="00747AFC"/>
    <w:rsid w:val="007A2FBC"/>
    <w:rsid w:val="007A7F73"/>
    <w:rsid w:val="007C3085"/>
    <w:rsid w:val="007E04F8"/>
    <w:rsid w:val="00802507"/>
    <w:rsid w:val="00832986"/>
    <w:rsid w:val="0085134C"/>
    <w:rsid w:val="00852B83"/>
    <w:rsid w:val="008B4603"/>
    <w:rsid w:val="008B6BF1"/>
    <w:rsid w:val="008D2288"/>
    <w:rsid w:val="008E51B5"/>
    <w:rsid w:val="00907EBD"/>
    <w:rsid w:val="00930EC8"/>
    <w:rsid w:val="0093438F"/>
    <w:rsid w:val="00940ABD"/>
    <w:rsid w:val="009A6884"/>
    <w:rsid w:val="009C35D7"/>
    <w:rsid w:val="009D2377"/>
    <w:rsid w:val="009E130E"/>
    <w:rsid w:val="009F0397"/>
    <w:rsid w:val="009F30F2"/>
    <w:rsid w:val="00A02110"/>
    <w:rsid w:val="00A05EFE"/>
    <w:rsid w:val="00A427E4"/>
    <w:rsid w:val="00A50DAE"/>
    <w:rsid w:val="00A624C1"/>
    <w:rsid w:val="00A8188B"/>
    <w:rsid w:val="00A8666A"/>
    <w:rsid w:val="00AC05E2"/>
    <w:rsid w:val="00AD25B2"/>
    <w:rsid w:val="00AF5C11"/>
    <w:rsid w:val="00B01B36"/>
    <w:rsid w:val="00B068B8"/>
    <w:rsid w:val="00B13F15"/>
    <w:rsid w:val="00B23965"/>
    <w:rsid w:val="00B50D1A"/>
    <w:rsid w:val="00B620CD"/>
    <w:rsid w:val="00B92A55"/>
    <w:rsid w:val="00BB7D5C"/>
    <w:rsid w:val="00BC3155"/>
    <w:rsid w:val="00BD5772"/>
    <w:rsid w:val="00BE3CFC"/>
    <w:rsid w:val="00C0346D"/>
    <w:rsid w:val="00C67CE3"/>
    <w:rsid w:val="00C74DFE"/>
    <w:rsid w:val="00CB3FEA"/>
    <w:rsid w:val="00CD483F"/>
    <w:rsid w:val="00CD5645"/>
    <w:rsid w:val="00CE2CC1"/>
    <w:rsid w:val="00CF14D0"/>
    <w:rsid w:val="00CF5CA9"/>
    <w:rsid w:val="00D359E1"/>
    <w:rsid w:val="00D576CC"/>
    <w:rsid w:val="00D60716"/>
    <w:rsid w:val="00D67EC3"/>
    <w:rsid w:val="00DE4150"/>
    <w:rsid w:val="00DF01DF"/>
    <w:rsid w:val="00E05612"/>
    <w:rsid w:val="00E17B08"/>
    <w:rsid w:val="00E2416E"/>
    <w:rsid w:val="00E35B4A"/>
    <w:rsid w:val="00E451CF"/>
    <w:rsid w:val="00E77B62"/>
    <w:rsid w:val="00E856A0"/>
    <w:rsid w:val="00EA66F2"/>
    <w:rsid w:val="00EE3156"/>
    <w:rsid w:val="00EE59B8"/>
    <w:rsid w:val="00F34D01"/>
    <w:rsid w:val="00F52BF8"/>
    <w:rsid w:val="00F94B59"/>
    <w:rsid w:val="00FA28B3"/>
    <w:rsid w:val="00FB1565"/>
    <w:rsid w:val="00FF5CEA"/>
    <w:rsid w:val="175D208D"/>
    <w:rsid w:val="1F4E408C"/>
    <w:rsid w:val="22523CE0"/>
    <w:rsid w:val="356624EF"/>
    <w:rsid w:val="48B9217D"/>
    <w:rsid w:val="6B83666F"/>
    <w:rsid w:val="71787B58"/>
    <w:rsid w:val="7217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Words>
  <Characters>595</Characters>
  <Lines>4</Lines>
  <Paragraphs>1</Paragraphs>
  <TotalTime>27</TotalTime>
  <ScaleCrop>false</ScaleCrop>
  <LinksUpToDate>false</LinksUpToDate>
  <CharactersWithSpaces>698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2016-09-18T00:09:00Z</dcterms:created>
  <dc:creator>2012</dc:creator>
  <cp:lastModifiedBy>阿舒</cp:lastModifiedBy>
  <dcterms:modified xsi:type="dcterms:W3CDTF">2021-09-22T06:20:11Z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754F6E5F38E649458D572E3A8049BF9C</vt:lpwstr>
  </property>
</Properties>
</file>