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hAnsi="黑体" w:eastAsia="方正小标宋简体"/>
          <w:sz w:val="36"/>
          <w:szCs w:val="36"/>
        </w:rPr>
      </w:pPr>
      <w:r>
        <w:rPr>
          <w:rFonts w:ascii="方正小标宋简体" w:hAnsi="黑体" w:eastAsia="方正小标宋简体"/>
          <w:sz w:val="36"/>
          <w:szCs w:val="36"/>
        </w:rPr>
        <w:t>上海</w:t>
      </w:r>
      <w:r>
        <w:rPr>
          <w:rFonts w:hint="eastAsia" w:ascii="方正小标宋简体" w:hAnsi="黑体" w:eastAsia="方正小标宋简体"/>
          <w:sz w:val="36"/>
          <w:szCs w:val="36"/>
        </w:rPr>
        <w:t>电机学院人才队伍</w:t>
      </w:r>
      <w:r>
        <w:rPr>
          <w:rFonts w:ascii="方正小标宋简体" w:hAnsi="黑体" w:eastAsia="方正小标宋简体"/>
          <w:sz w:val="36"/>
          <w:szCs w:val="36"/>
        </w:rPr>
        <w:t>建设“十</w:t>
      </w:r>
      <w:r>
        <w:rPr>
          <w:rFonts w:hint="eastAsia" w:ascii="方正小标宋简体" w:hAnsi="黑体" w:eastAsia="方正小标宋简体"/>
          <w:sz w:val="36"/>
          <w:szCs w:val="36"/>
        </w:rPr>
        <w:t>三</w:t>
      </w:r>
      <w:r>
        <w:rPr>
          <w:rFonts w:ascii="方正小标宋简体" w:hAnsi="黑体" w:eastAsia="方正小标宋简体"/>
          <w:sz w:val="36"/>
          <w:szCs w:val="36"/>
        </w:rPr>
        <w:t>五”规划</w:t>
      </w:r>
      <w:r>
        <w:rPr>
          <w:rFonts w:hint="eastAsia" w:ascii="方正小标宋简体" w:hAnsi="黑体" w:eastAsia="方正小标宋简体"/>
          <w:sz w:val="36"/>
          <w:szCs w:val="36"/>
        </w:rPr>
        <w:t>（</w:t>
      </w:r>
      <w:r>
        <w:rPr>
          <w:rFonts w:ascii="方正小标宋简体" w:hAnsi="黑体" w:eastAsia="方正小标宋简体"/>
          <w:sz w:val="36"/>
          <w:szCs w:val="36"/>
        </w:rPr>
        <w:t>2016-2020</w:t>
      </w:r>
      <w:r>
        <w:rPr>
          <w:rFonts w:hint="eastAsia" w:ascii="方正小标宋简体" w:hAnsi="黑体" w:eastAsia="方正小标宋简体"/>
          <w:sz w:val="36"/>
          <w:szCs w:val="36"/>
        </w:rPr>
        <w:t>）</w:t>
      </w:r>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（修订稿）</w:t>
      </w:r>
    </w:p>
    <w:p>
      <w:pPr>
        <w:spacing w:line="480" w:lineRule="exact"/>
        <w:ind w:firstLine="560" w:firstLineChars="200"/>
        <w:rPr>
          <w:rFonts w:hint="eastAsia" w:ascii="仿宋" w:hAnsi="仿宋" w:eastAsia="仿宋"/>
          <w:sz w:val="28"/>
          <w:szCs w:val="28"/>
        </w:rPr>
      </w:pP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根据《上海电机学院“十三五”改革和发展规划（2016-2020年）》，为实现建设特色鲜明的高水平应用技术大学的宏伟目标，努力建设一支适应学校培养高等技术应用型人才的人才队伍，特制定《</w:t>
      </w:r>
      <w:r>
        <w:rPr>
          <w:rFonts w:ascii="仿宋" w:hAnsi="仿宋" w:eastAsia="仿宋"/>
          <w:sz w:val="28"/>
          <w:szCs w:val="28"/>
        </w:rPr>
        <w:t>上海</w:t>
      </w:r>
      <w:r>
        <w:rPr>
          <w:rFonts w:hint="eastAsia" w:ascii="仿宋" w:hAnsi="仿宋" w:eastAsia="仿宋"/>
          <w:sz w:val="28"/>
          <w:szCs w:val="28"/>
        </w:rPr>
        <w:t>电机学院人才</w:t>
      </w:r>
      <w:r>
        <w:rPr>
          <w:rFonts w:ascii="仿宋" w:hAnsi="仿宋" w:eastAsia="仿宋"/>
          <w:sz w:val="28"/>
          <w:szCs w:val="28"/>
        </w:rPr>
        <w:t>队伍建设“十</w:t>
      </w:r>
      <w:r>
        <w:rPr>
          <w:rFonts w:hint="eastAsia" w:ascii="仿宋" w:hAnsi="仿宋" w:eastAsia="仿宋"/>
          <w:sz w:val="28"/>
          <w:szCs w:val="28"/>
        </w:rPr>
        <w:t>三</w:t>
      </w:r>
      <w:r>
        <w:rPr>
          <w:rFonts w:ascii="仿宋" w:hAnsi="仿宋" w:eastAsia="仿宋"/>
          <w:sz w:val="28"/>
          <w:szCs w:val="28"/>
        </w:rPr>
        <w:t>五”规划</w:t>
      </w:r>
      <w:r>
        <w:rPr>
          <w:rFonts w:hint="eastAsia" w:ascii="仿宋" w:hAnsi="仿宋" w:eastAsia="仿宋"/>
          <w:sz w:val="28"/>
          <w:szCs w:val="28"/>
        </w:rPr>
        <w:t>（修订稿）》。</w:t>
      </w:r>
    </w:p>
    <w:p>
      <w:pPr>
        <w:spacing w:line="480" w:lineRule="exact"/>
        <w:ind w:firstLine="560" w:firstLineChars="200"/>
        <w:rPr>
          <w:rFonts w:hint="eastAsia" w:ascii="仿宋" w:hAnsi="仿宋" w:eastAsia="仿宋"/>
          <w:sz w:val="28"/>
          <w:szCs w:val="28"/>
        </w:rPr>
      </w:pPr>
    </w:p>
    <w:p>
      <w:pPr>
        <w:spacing w:line="480" w:lineRule="exact"/>
        <w:ind w:firstLine="560" w:firstLineChars="200"/>
        <w:rPr>
          <w:rFonts w:ascii="黑体" w:eastAsia="黑体"/>
          <w:sz w:val="28"/>
          <w:szCs w:val="28"/>
        </w:rPr>
      </w:pPr>
      <w:r>
        <w:rPr>
          <w:rFonts w:hint="eastAsia" w:ascii="黑体" w:eastAsia="黑体"/>
          <w:sz w:val="28"/>
          <w:szCs w:val="28"/>
        </w:rPr>
        <w:t>一、“十二五”期间取得的成绩和存在的主要问题</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（一）主要成绩</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1.师资总量稳步增长，队伍结构进一步优化</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截至</w:t>
      </w:r>
      <w:r>
        <w:rPr>
          <w:rFonts w:ascii="仿宋" w:hAnsi="仿宋" w:eastAsia="仿宋"/>
          <w:sz w:val="28"/>
          <w:szCs w:val="28"/>
        </w:rPr>
        <w:t>2015年，我校共有专任教师732名，其中具有正高级专业技术职务的教师51名，占全部专任教师的比例为7％；具有副高级专业技术职务的教师178名，占全部专任教师的比例为24</w:t>
      </w:r>
      <w:r>
        <w:rPr>
          <w:rFonts w:hint="eastAsia" w:ascii="仿宋" w:hAnsi="仿宋" w:eastAsia="仿宋"/>
          <w:sz w:val="28"/>
          <w:szCs w:val="28"/>
        </w:rPr>
        <w:t>％；具有博士学位的教师</w:t>
      </w:r>
      <w:r>
        <w:rPr>
          <w:rFonts w:ascii="仿宋" w:hAnsi="仿宋" w:eastAsia="仿宋"/>
          <w:sz w:val="28"/>
          <w:szCs w:val="28"/>
        </w:rPr>
        <w:t>256名，占全部专任教师的比例为35％</w:t>
      </w:r>
      <w:r>
        <w:rPr>
          <w:rFonts w:hint="eastAsia" w:ascii="仿宋" w:hAnsi="仿宋" w:eastAsia="仿宋"/>
          <w:sz w:val="28"/>
          <w:szCs w:val="28"/>
        </w:rPr>
        <w:t>。</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2.高层次人才队伍建设初显成效</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学校实施人才强校战略，注重高层次人才的培养与引进。先后制定了“东海学者”“临港学者”和“洋山学者”的聘任与管理办法，着力引进高层次人才。</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学校先后聘任上海市东方学者特聘教授2名，上海市教学名师1名，洋山学者特聘教授3名。新增教授21名，博士副教授82名，基本完成了“十二五”师资规划的建设目标。</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3.人事综合管理体制改革稳步推进</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十二五”期间，适逢上海市事业单位绩效工资改革和学校新一轮校内岗位聘任，学校以此为契机，大力推进校内人事分配制度改革并完善校内二级管理体系。以教师岗位聘任、评价考核与奖惩激励制度为核心的各项人事管理制度已初步搭建好框架，执行规范有序，这一切都为“十三五”师资队伍建设打下了良好的基础。</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4.师资培养工程成绩明显</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学校积极参与上海市教委教师专业发展工程,“十二五”期间，共80名教师获得“上海高校中青年教师国外访学进修计划”，91名教师获得“上海高校青年骨干教师国内访问学者计划”，83名教师获得“上海高校教师产学研践习计划”，103名青年教师获得“上海高校青年教师培养资助计划”，50名实验技术人员获得“上海高校实验技术队伍建设计划”，获得计划支持的教师数总计407人次，约占专任教师总数的55.6%，共支出上海市教委教师专业发展工程经费2300多万元。</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（二）问题与挑战</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1.专任教师数量偏少制约了人才培养目标的实现。师资总量与日益增加的学生总量存在不平衡。</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专任师资队伍结构不合理，难以适应学校事业发展需求。主要体现在：领军人才队伍不足，吸引高层次人才来校工作的软环境和发展平台还不够；正高职称教师比例偏低，不利于学校吸引高水平人才，不利于激发青年教师专业发展；满足技术应用型人才培养需要的特色师资队伍尚未建成，具有企业经历或双师资历的教师还需进一步增加；具有博士学位的高学历教师比例还不高，教师的国际化水平还欠缺。</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3．师资队伍的水平与同类院校相比缺乏竞争</w:t>
      </w:r>
      <w:r>
        <w:rPr>
          <w:rFonts w:ascii="仿宋" w:hAnsi="仿宋" w:eastAsia="仿宋"/>
          <w:sz w:val="28"/>
          <w:szCs w:val="28"/>
        </w:rPr>
        <w:t>性</w:t>
      </w:r>
      <w:r>
        <w:rPr>
          <w:rFonts w:hint="eastAsia" w:ascii="仿宋" w:hAnsi="仿宋" w:eastAsia="仿宋"/>
          <w:sz w:val="28"/>
          <w:szCs w:val="28"/>
        </w:rPr>
        <w:t>，</w:t>
      </w:r>
      <w:r>
        <w:rPr>
          <w:rFonts w:ascii="仿宋" w:hAnsi="仿宋" w:eastAsia="仿宋"/>
          <w:sz w:val="28"/>
          <w:szCs w:val="28"/>
        </w:rPr>
        <w:t>在</w:t>
      </w:r>
      <w:r>
        <w:rPr>
          <w:rFonts w:hint="eastAsia" w:ascii="仿宋" w:hAnsi="仿宋" w:eastAsia="仿宋"/>
          <w:sz w:val="28"/>
          <w:szCs w:val="28"/>
        </w:rPr>
        <w:t>竞争性</w:t>
      </w:r>
      <w:r>
        <w:rPr>
          <w:rFonts w:ascii="仿宋" w:hAnsi="仿宋" w:eastAsia="仿宋"/>
          <w:sz w:val="28"/>
          <w:szCs w:val="28"/>
        </w:rPr>
        <w:t>项目上表现乏力</w:t>
      </w:r>
      <w:r>
        <w:rPr>
          <w:rFonts w:hint="eastAsia" w:ascii="仿宋" w:hAnsi="仿宋" w:eastAsia="仿宋"/>
          <w:sz w:val="28"/>
          <w:szCs w:val="28"/>
        </w:rPr>
        <w:t>。</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4．其他系列人才队伍，如实验队伍、管理队伍发展空间及发展平台较少，服务与管理的水平及质量有待提升。</w:t>
      </w:r>
    </w:p>
    <w:p>
      <w:pPr>
        <w:spacing w:line="480" w:lineRule="exact"/>
        <w:ind w:firstLine="560" w:firstLineChars="200"/>
        <w:rPr>
          <w:rFonts w:hint="eastAsia" w:ascii="仿宋" w:hAnsi="仿宋" w:eastAsia="仿宋"/>
          <w:sz w:val="28"/>
          <w:szCs w:val="28"/>
        </w:rPr>
      </w:pPr>
    </w:p>
    <w:p>
      <w:pPr>
        <w:spacing w:line="480" w:lineRule="exact"/>
        <w:ind w:firstLine="560" w:firstLineChars="200"/>
        <w:rPr>
          <w:rFonts w:ascii="黑体" w:eastAsia="黑体"/>
          <w:sz w:val="28"/>
          <w:szCs w:val="28"/>
        </w:rPr>
      </w:pPr>
      <w:r>
        <w:rPr>
          <w:rFonts w:hint="eastAsia" w:ascii="黑体" w:eastAsia="黑体"/>
          <w:sz w:val="28"/>
          <w:szCs w:val="28"/>
        </w:rPr>
        <w:t>二、“十三五”建设理念和基本思路</w:t>
      </w:r>
    </w:p>
    <w:p>
      <w:pPr>
        <w:spacing w:line="480" w:lineRule="exact"/>
        <w:ind w:firstLine="560" w:firstLineChars="200"/>
        <w:rPr>
          <w:rFonts w:ascii="黑体" w:eastAsia="黑体"/>
          <w:sz w:val="28"/>
          <w:szCs w:val="28"/>
        </w:rPr>
      </w:pPr>
      <w:r>
        <w:rPr>
          <w:rFonts w:hint="eastAsia" w:ascii="楷体_GB2312" w:eastAsia="楷体_GB2312"/>
          <w:sz w:val="28"/>
          <w:szCs w:val="28"/>
        </w:rPr>
        <w:t>（一）建设理念</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根据学校发展目标，深化“技术立校、应用为本”的办学方略，坚定不移地实施人才强校战略，在学校发展中贯彻落实人才是第一资源、人才优先发展的思想，以强烈的人才意识，积极寻觅人才、发现人才、举荐人才、使用人才、激发人才，增强人才凝聚力，统筹推进人力资源建设和发展，为建设特色鲜明的高水平应用技术大学提供强有力的人才支撑。</w:t>
      </w:r>
    </w:p>
    <w:p>
      <w:pPr>
        <w:spacing w:line="480" w:lineRule="exact"/>
        <w:ind w:firstLine="560" w:firstLineChars="200"/>
        <w:rPr>
          <w:rFonts w:ascii="仿宋" w:hAnsi="仿宋" w:eastAsia="仿宋"/>
          <w:sz w:val="28"/>
          <w:szCs w:val="28"/>
        </w:rPr>
      </w:pPr>
      <w:r>
        <w:rPr>
          <w:rFonts w:hint="eastAsia" w:ascii="楷体_GB2312" w:eastAsia="楷体_GB2312"/>
          <w:sz w:val="28"/>
          <w:szCs w:val="28"/>
        </w:rPr>
        <w:t>（二）基本思路</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1.党管人才</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坚持党管人才的政治方向，完善党委统一领导，有关部门各司其职、密切配合、广泛参与的人才工作格局；尊重知识、尊重人才，坚持统筹推进、强化督查，全校形成人才辈出、人尽其才的良好局面。</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2.德育为先、育人为本</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坚持德才兼备、以德为先遴选人才，将育人为本和教师的育德能力落实到人才培养的首要地位。健全教师职业行为规范和激励与制约机制，完善师德师风考核评价办法和奖惩制度。</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3.教师队伍优先发展</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把教师队伍放在优先发展地位，资源配置优先向教师队伍倾斜。注意发挥教师教书育人和积极探索的积极性，师德为先，育人为本，积极促进教师在推动学校各项事业发展过程中实现自身价值。</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4.坚持特色发展</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以学校人才培养特色为导向，以校企合作教师团队建设为平台，广泛吸纳企业、科研院所的高水平专业人员以各种形式参与学校发展，鼓励教师面向企业、科研院所等工作部门，积极参与社会实践，引导教师积累相关工作经历和专业实践背景。</w:t>
      </w:r>
    </w:p>
    <w:p>
      <w:pPr>
        <w:spacing w:line="480" w:lineRule="exact"/>
        <w:ind w:firstLine="560" w:firstLineChars="200"/>
        <w:rPr>
          <w:rFonts w:hint="eastAsia" w:ascii="仿宋" w:hAnsi="仿宋" w:eastAsia="仿宋"/>
          <w:sz w:val="28"/>
          <w:szCs w:val="28"/>
        </w:rPr>
      </w:pPr>
    </w:p>
    <w:p>
      <w:pPr>
        <w:spacing w:line="480" w:lineRule="exact"/>
        <w:ind w:firstLine="560" w:firstLineChars="200"/>
        <w:rPr>
          <w:rFonts w:ascii="黑体" w:eastAsia="黑体"/>
          <w:sz w:val="28"/>
          <w:szCs w:val="28"/>
        </w:rPr>
      </w:pPr>
      <w:r>
        <w:rPr>
          <w:rFonts w:hint="eastAsia" w:ascii="黑体" w:eastAsia="黑体"/>
          <w:sz w:val="28"/>
          <w:szCs w:val="28"/>
        </w:rPr>
        <w:t>三、“十三五”发展目标</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（一）总体目标</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以立德树人为统领，以提高教育质量为主线，以促进教育公平为重点，深化人事综合改革。按照学科、专业、学位点的建设要求，在人力资源建设与发展中坚持用好增量、盘活存量、优化总量，创新人力资源建设的体制机制，营造良好的人才成长与发展环境。继续加大教师队伍培养与引进力度，按照“规模、结构、质量、效益”相统一的原则，培养和造就一支具有较高教学科研水平和较强技术应用特色、能够担负起培养卓越的高等技术应用型人才重任的教师队伍。</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（二）具体指标</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到2020年，根据新的学生规模及生师比要求，专任教师规模达到850人左右，其中具有正高级专业技术职务的教师达1</w:t>
      </w:r>
      <w:r>
        <w:rPr>
          <w:rFonts w:ascii="仿宋" w:hAnsi="仿宋" w:eastAsia="仿宋"/>
          <w:sz w:val="28"/>
          <w:szCs w:val="28"/>
        </w:rPr>
        <w:t>0%</w:t>
      </w:r>
      <w:r>
        <w:rPr>
          <w:rFonts w:hint="eastAsia" w:ascii="仿宋" w:hAnsi="仿宋" w:eastAsia="仿宋"/>
          <w:sz w:val="28"/>
          <w:szCs w:val="28"/>
        </w:rPr>
        <w:t>，具有博士学位的教师达40%，工科专业双师型教师达</w:t>
      </w:r>
      <w:r>
        <w:rPr>
          <w:rFonts w:ascii="仿宋" w:hAnsi="仿宋" w:eastAsia="仿宋"/>
          <w:sz w:val="28"/>
          <w:szCs w:val="28"/>
        </w:rPr>
        <w:t>60%</w:t>
      </w:r>
      <w:r>
        <w:rPr>
          <w:rFonts w:hint="eastAsia" w:ascii="仿宋" w:hAnsi="仿宋" w:eastAsia="仿宋"/>
          <w:sz w:val="28"/>
          <w:szCs w:val="28"/>
        </w:rPr>
        <w:t>，具有海外留学、研修经历的教师达</w:t>
      </w:r>
      <w:r>
        <w:rPr>
          <w:rFonts w:ascii="仿宋" w:hAnsi="仿宋" w:eastAsia="仿宋"/>
          <w:sz w:val="28"/>
          <w:szCs w:val="28"/>
        </w:rPr>
        <w:t>30%</w:t>
      </w:r>
      <w:r>
        <w:rPr>
          <w:rFonts w:hint="eastAsia" w:ascii="仿宋" w:hAnsi="仿宋" w:eastAsia="仿宋"/>
          <w:sz w:val="28"/>
          <w:szCs w:val="28"/>
        </w:rPr>
        <w:t>以上。</w:t>
      </w:r>
    </w:p>
    <w:p>
      <w:pPr>
        <w:spacing w:line="480" w:lineRule="exact"/>
        <w:ind w:firstLine="560" w:firstLineChars="200"/>
        <w:rPr>
          <w:rFonts w:hint="eastAsia" w:ascii="仿宋" w:hAnsi="仿宋" w:eastAsia="仿宋"/>
          <w:sz w:val="28"/>
          <w:szCs w:val="28"/>
        </w:rPr>
      </w:pPr>
    </w:p>
    <w:p>
      <w:pPr>
        <w:spacing w:line="480" w:lineRule="exact"/>
        <w:ind w:firstLine="560" w:firstLineChars="200"/>
        <w:rPr>
          <w:rFonts w:ascii="黑体" w:eastAsia="黑体"/>
          <w:sz w:val="28"/>
          <w:szCs w:val="28"/>
        </w:rPr>
      </w:pPr>
      <w:r>
        <w:rPr>
          <w:rFonts w:hint="eastAsia" w:ascii="黑体" w:eastAsia="黑体"/>
          <w:sz w:val="28"/>
          <w:szCs w:val="28"/>
        </w:rPr>
        <w:t>四、主要建设任务</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根据学校“十三五”期间事业发展需求，深入推进“人才强校”战略，统筹抓好学校人力资源建设，整体推进高层次人才队伍、教学名师队伍、双师型教师队伍、专职思想政治教育队伍、实验技术、管理队伍等各类人才队伍建设质量。</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重点投入资源，以电气工程、机械工程两个学校登峰学科为重点，进一步加大人才引进和培育力度，构建</w:t>
      </w:r>
      <w:r>
        <w:rPr>
          <w:rFonts w:hint="cs" w:ascii="仿宋" w:hAnsi="仿宋" w:eastAsia="仿宋"/>
          <w:sz w:val="28"/>
          <w:szCs w:val="28"/>
        </w:rPr>
        <w:t>“</w:t>
      </w:r>
      <w:r>
        <w:rPr>
          <w:rFonts w:hint="eastAsia" w:ascii="仿宋" w:hAnsi="仿宋" w:eastAsia="仿宋"/>
          <w:sz w:val="28"/>
          <w:szCs w:val="28"/>
        </w:rPr>
        <w:t>重点突出，定位明确、层次清晰、衔接紧密</w:t>
      </w:r>
      <w:r>
        <w:rPr>
          <w:rFonts w:hint="cs" w:ascii="仿宋" w:hAnsi="仿宋" w:eastAsia="仿宋"/>
          <w:sz w:val="28"/>
          <w:szCs w:val="28"/>
        </w:rPr>
        <w:t>”</w:t>
      </w:r>
      <w:r>
        <w:rPr>
          <w:rFonts w:hint="eastAsia" w:ascii="仿宋" w:hAnsi="仿宋" w:eastAsia="仿宋"/>
          <w:sz w:val="28"/>
          <w:szCs w:val="28"/>
        </w:rPr>
        <w:t>的人才队伍建设体系。重点实施</w:t>
      </w:r>
      <w:r>
        <w:rPr>
          <w:rFonts w:hint="cs" w:ascii="仿宋" w:hAnsi="仿宋" w:eastAsia="仿宋"/>
          <w:sz w:val="28"/>
          <w:szCs w:val="28"/>
        </w:rPr>
        <w:t>“</w:t>
      </w:r>
      <w:r>
        <w:rPr>
          <w:rFonts w:hint="eastAsia" w:ascii="仿宋" w:hAnsi="仿宋" w:eastAsia="仿宋"/>
          <w:sz w:val="28"/>
          <w:szCs w:val="28"/>
        </w:rPr>
        <w:t>七大计划</w:t>
      </w:r>
      <w:r>
        <w:rPr>
          <w:rFonts w:hint="cs" w:ascii="仿宋" w:hAnsi="仿宋" w:eastAsia="仿宋"/>
          <w:sz w:val="28"/>
          <w:szCs w:val="28"/>
        </w:rPr>
        <w:t>”</w:t>
      </w:r>
      <w:r>
        <w:rPr>
          <w:rFonts w:hint="eastAsia" w:ascii="仿宋" w:hAnsi="仿宋" w:eastAsia="仿宋"/>
          <w:sz w:val="28"/>
          <w:szCs w:val="28"/>
        </w:rPr>
        <w:t>：</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（一）</w:t>
      </w:r>
      <w:r>
        <w:rPr>
          <w:rFonts w:ascii="楷体_GB2312" w:eastAsia="楷体_GB2312"/>
          <w:sz w:val="28"/>
          <w:szCs w:val="28"/>
        </w:rPr>
        <w:t>登峰学科高层次引才计划</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聚焦学校登峰学科重点发展方向，充分利用上海市高原学科建设契机，因人施策，采用校企共享等方式引进和培育</w:t>
      </w:r>
      <w:r>
        <w:rPr>
          <w:rFonts w:ascii="仿宋" w:hAnsi="仿宋" w:eastAsia="仿宋"/>
          <w:sz w:val="28"/>
          <w:szCs w:val="28"/>
        </w:rPr>
        <w:t>10</w:t>
      </w:r>
      <w:r>
        <w:rPr>
          <w:rFonts w:hint="eastAsia" w:ascii="仿宋" w:hAnsi="仿宋" w:eastAsia="仿宋"/>
          <w:sz w:val="28"/>
          <w:szCs w:val="28"/>
        </w:rPr>
        <w:t>名左右入选“曙光学者”“东方学者”“科技启明星”等省市级及以上的学科带头人和学术骨干。</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（二）教学名师引领计划</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推进本科教学教师激励计划，以教学团队建设为依托，发挥示范引领作用，健全“培养——选拔——应用”机制，打造一批教学名师，引领学校教师教育教学水平整体提高。</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（三）青年英才成长阶梯计划</w:t>
      </w:r>
    </w:p>
    <w:p>
      <w:pPr>
        <w:overflowPunct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通过修订和完善青年骨干培育办法，首推新进教师首聘期考核管理办法，加快实施各项教师专业发展计划，对青年人才加大培养和激励力度，加快高层次人才后备队伍培育，建立可持续发展的青年英才成长机制。“十三五”期间，加大激励，设立1-2-3校内学术骨干培育专项，重点支持</w:t>
      </w:r>
      <w:r>
        <w:rPr>
          <w:rFonts w:ascii="仿宋" w:hAnsi="仿宋" w:eastAsia="仿宋"/>
          <w:sz w:val="28"/>
          <w:szCs w:val="28"/>
        </w:rPr>
        <w:t>10名学科带头人后备人选、20名学术带头人后备人选、30名青年学术骨干，加大对有望获得省部级以上人才称号、国家级项目、省部级以上科研奖励等学术骨干</w:t>
      </w:r>
      <w:r>
        <w:rPr>
          <w:rFonts w:hint="eastAsia" w:ascii="仿宋" w:hAnsi="仿宋" w:eastAsia="仿宋"/>
          <w:sz w:val="28"/>
          <w:szCs w:val="28"/>
        </w:rPr>
        <w:t>予以培养和支持力度，推动校内青年英才数量和质量的快速提升。</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（四）双师型教师培育计划</w:t>
      </w:r>
    </w:p>
    <w:p>
      <w:pPr>
        <w:overflowPunct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建立学校、企业、社会融合的人才流动机制，到企业院所选聘有实践创新经验的科技骨干和工程技术人员来校工作或兼职，将双师型教师占比、企业兼职教师占比、专业教师企业实践时间纳入二级师资队伍建设考核体系。继续推进青年教师产学研践习计划，发挥产学研合作平台作用，培养在校教师的工程技术实践经验，建立专业教师企业学习实践制度。</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（五）思想政治教育队伍专项计划</w:t>
      </w:r>
    </w:p>
    <w:p>
      <w:pPr>
        <w:overflowPunct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发挥学工部的主体作用，建立从入职资格设立、上岗培训、职业发展培训、考核晋升等一整套专职思想政治教育工作队伍发展机制，推动学生思想政治教育队伍成长发展。思想政治教育队伍数量达到国家规定标准。</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（六）</w:t>
      </w:r>
      <w:r>
        <w:rPr>
          <w:rFonts w:ascii="楷体_GB2312" w:eastAsia="楷体_GB2312"/>
          <w:sz w:val="28"/>
          <w:szCs w:val="28"/>
        </w:rPr>
        <w:t>管理服务队伍专项计划</w:t>
      </w:r>
    </w:p>
    <w:p>
      <w:pPr>
        <w:overflowPunct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着力建设与特色鲜明的高水平应用技术大学相适应的专业化服务型管理队伍。通过规范管理和有效激励、调整人才派遣队伍结构、全面推进职员制等举措，建立一支具有较高管理专业水平，爱岗敬业、精干高效的管理队伍。</w:t>
      </w:r>
    </w:p>
    <w:p>
      <w:pPr>
        <w:overflowPunct w:val="0"/>
        <w:snapToGrid w:val="0"/>
        <w:spacing w:line="480" w:lineRule="exact"/>
        <w:ind w:firstLine="560" w:firstLineChars="200"/>
        <w:rPr>
          <w:rFonts w:ascii="仿宋" w:hAnsi="仿宋" w:eastAsia="仿宋"/>
          <w:sz w:val="28"/>
          <w:szCs w:val="28"/>
        </w:rPr>
      </w:pPr>
      <w:r>
        <w:rPr>
          <w:rFonts w:hint="eastAsia" w:ascii="楷体_GB2312" w:eastAsia="楷体_GB2312"/>
          <w:sz w:val="28"/>
          <w:szCs w:val="28"/>
        </w:rPr>
        <w:t>（七）</w:t>
      </w:r>
      <w:r>
        <w:rPr>
          <w:rFonts w:ascii="楷体_GB2312" w:eastAsia="楷体_GB2312"/>
          <w:sz w:val="28"/>
          <w:szCs w:val="28"/>
        </w:rPr>
        <w:t>实验等专业支撑队伍保障计划</w:t>
      </w:r>
    </w:p>
    <w:p>
      <w:pPr>
        <w:overflowPunct w:val="0"/>
        <w:snapToGrid w:val="0"/>
        <w:spacing w:line="480" w:lineRule="exact"/>
        <w:ind w:firstLine="560" w:firstLineChars="200"/>
        <w:rPr>
          <w:rFonts w:hint="eastAsia" w:ascii="仿宋" w:hAnsi="仿宋" w:eastAsia="仿宋"/>
          <w:sz w:val="28"/>
          <w:szCs w:val="28"/>
        </w:rPr>
      </w:pPr>
      <w:r>
        <w:rPr>
          <w:rFonts w:hint="eastAsia" w:ascii="仿宋" w:hAnsi="仿宋" w:eastAsia="仿宋"/>
          <w:sz w:val="28"/>
          <w:szCs w:val="28"/>
        </w:rPr>
        <w:t>针对实验室、图书、信息、编辑等专业技术保障队伍，加强职业技能培训，多元化设计职业发展路径，建设一支专业化、职业化支撑保障队伍。结合实验教学、实验技术或实验室管理工作特点，设立实验技术队伍准入标准，加大实验队伍建设力度，建立健全实验技术队伍发展与晋升体系，重点考察实验技术能力和实验创新能力。</w:t>
      </w:r>
    </w:p>
    <w:p>
      <w:pPr>
        <w:overflowPunct w:val="0"/>
        <w:snapToGrid w:val="0"/>
        <w:spacing w:line="480" w:lineRule="exact"/>
        <w:ind w:firstLine="560" w:firstLineChars="200"/>
        <w:rPr>
          <w:rFonts w:hint="eastAsia" w:ascii="仿宋" w:hAnsi="仿宋" w:eastAsia="仿宋"/>
          <w:sz w:val="28"/>
          <w:szCs w:val="28"/>
        </w:rPr>
      </w:pPr>
    </w:p>
    <w:p>
      <w:pPr>
        <w:spacing w:line="480" w:lineRule="exact"/>
        <w:ind w:firstLine="560" w:firstLineChars="200"/>
        <w:rPr>
          <w:rFonts w:ascii="黑体" w:eastAsia="黑体"/>
          <w:sz w:val="28"/>
          <w:szCs w:val="28"/>
        </w:rPr>
      </w:pPr>
      <w:r>
        <w:rPr>
          <w:rFonts w:ascii="黑体" w:eastAsia="黑体"/>
          <w:sz w:val="28"/>
          <w:szCs w:val="28"/>
        </w:rPr>
        <w:tab/>
      </w:r>
      <w:r>
        <w:rPr>
          <w:rFonts w:hint="eastAsia" w:ascii="黑体" w:eastAsia="黑体"/>
          <w:sz w:val="28"/>
          <w:szCs w:val="28"/>
        </w:rPr>
        <w:t>五、政策措施</w:t>
      </w:r>
    </w:p>
    <w:p>
      <w:pPr>
        <w:overflowPunct w:val="0"/>
        <w:snapToGrid w:val="0"/>
        <w:spacing w:line="480" w:lineRule="exact"/>
        <w:ind w:firstLine="560" w:firstLineChars="200"/>
        <w:rPr>
          <w:rFonts w:ascii="楷体_GB2312" w:eastAsia="楷体_GB2312"/>
          <w:sz w:val="28"/>
          <w:szCs w:val="28"/>
        </w:rPr>
      </w:pPr>
      <w:r>
        <w:rPr>
          <w:rFonts w:hint="eastAsia" w:ascii="楷体_GB2312" w:eastAsia="楷体_GB2312"/>
          <w:sz w:val="28"/>
          <w:szCs w:val="28"/>
        </w:rPr>
        <w:t>（一）引育并举，优化人力资源结构</w:t>
      </w:r>
    </w:p>
    <w:p>
      <w:pPr>
        <w:overflowPunct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按照学科、专业、学位点“三局同步”的总框架，创新组织形式与资源配置方式，重点突出师资队伍的主体地位，稳步提升专任教师数量，保证教学辅助队伍配备，精简管理人员和工勤人员在编规模，优化人力资源配置。实行各类人员总量管理，严格各类人才选聘入口关，实行思想政治素质和业务能力双重考察。适应应用型人才培养需求，加大具有行业企业工作经历教师</w:t>
      </w:r>
      <w:r>
        <w:rPr>
          <w:rFonts w:ascii="仿宋" w:hAnsi="仿宋" w:eastAsia="仿宋"/>
          <w:sz w:val="28"/>
          <w:szCs w:val="28"/>
        </w:rPr>
        <w:t>和企业兼职教师</w:t>
      </w:r>
      <w:r>
        <w:rPr>
          <w:rFonts w:hint="eastAsia" w:ascii="仿宋" w:hAnsi="仿宋" w:eastAsia="仿宋"/>
          <w:sz w:val="28"/>
          <w:szCs w:val="28"/>
        </w:rPr>
        <w:t>的聘用力度。适应学科发展需要，加大高层次人才和高素质博士引进与培育力度。</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（二）深化人事聘用体系改革</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打破单一人事聘用体制机制瓶颈，建立包含事业编制、人才派遣、项目用工等形式多样、灵活组合的用工方式，不拘一格降人才。积极探索吸引海内外知名专家来校短期工作机制，实施项目合同聘用、学科建设任务牵引下的柔性人才聘用制。根据学科专业发展需求，建立基于岗位特性的分类聘任体系和考核评价体系，在省部级重大平台或交叉学科培育点，设置专职研究岗位。系统化推进人才引进、岗位聘任、考核评价、薪酬分配、职称晋升等方面的改革举措，建立适应学校发展需要的人事聘用体制机制。</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（三）推进多元化人才评价考核体系</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建立多元化的业绩评估体系，根据岗位职责和任务要求，为各类岗位人员设置不同的职业发展通道。尊重人才成长规律，建立规范化的考核激励机制，理顺学校与二级单位责权利关系，稳步推进学校对二级单位、二级单位对教职工的考核激励工作，鼓励各二级单位根据本单位特点，制定个性化评价考核方案。建立与分类聘任体系相适应的教师晋升多元评价体系，打破职务晋升以论文作为主要评价对象的传统弊端，探索以代表作为重点的评价方式。建立我校教师首聘考核制度、聘期考核制度和团队考核制度，加强聘后管理，对人岗不匹配及考核不合格的，实行岗位退出机制。</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（四）改革薪酬激励制度</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建立与分类聘任体系相适应的多元薪酬模式，包括协议年薪制、特区薪酬制、一事一议的项目薪酬制等灵活多样的薪酬激励办法。优化资源配置方式，体现公平和效率，突出效率，探索实施二级单位人员经费拨款改革，建立以“任务+绩效”为导向的二级学院人员经费拨款机制，探索党政机关部门以岗位业绩为导向的绩效分配机制。探索以贡献取酬的新型教职员工薪酬激励体系，全面推行团队考核与激励机制，逐步提高教职员工待遇，激发广大教职员工工作积极性和团队战斗力。</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（五）落实教师专业发展制度</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全面落实教师专业发展制度，构建师德建设长效机制，搭建校级教师发展平台，加强院系教研室等学习共同体建设，全面开展教师教学能力提升培训，为学校培养人才培育生力军。加大对创新团队和青年拔尖人才的支持力度。深入实施中青年教师国外访学进修计划、青年骨干教师国内访学计划、教师产学研践习计划和青年教师培养资助计划等。全面落实新教师岗前培训制度和教学科研启动资助工作，构建“培养——认定——提升”系统化的师资培养机制。</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（六）加强教师教学及科研团队建设</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落实本科教学教师激励计划，根据学校学科专业发展方向，实施教学团队建设导向政策，给予团队带头人和团队成员特殊的责权激励办法，打造若干高水平教学团队。加强科研团队和重点实验室建设，积极探索“学科科研特区”。探索既能深度服务区域需求又能有效支撑学科专业发展，高效、务实、共赢的教师产学研合作模式，鼓励教师到企业一线从事技术研究或成果转化，实行针对技术服务、推广服务的校企人才“旋转门”制度，发挥学科对接国家战略，服务产业需求的作用。</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（七）提高人力资源配置效率</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加强岗位编制管理的科学有效，建立健全基于绩效产出的岗位编制配置机制。明确岗位职责，淡化身份管理，强化岗位设置与聘任，逐步形成因岗择人、按岗聘任、依岗考核和岗变薪变的绩效管理模式。</w:t>
      </w:r>
    </w:p>
    <w:p>
      <w:pPr>
        <w:spacing w:line="480" w:lineRule="exact"/>
        <w:ind w:firstLine="560" w:firstLineChars="200"/>
        <w:rPr>
          <w:rFonts w:hint="eastAsia" w:ascii="仿宋" w:hAnsi="仿宋" w:eastAsia="仿宋"/>
          <w:sz w:val="28"/>
          <w:szCs w:val="28"/>
        </w:rPr>
      </w:pPr>
    </w:p>
    <w:p>
      <w:pPr>
        <w:spacing w:line="480" w:lineRule="exact"/>
        <w:ind w:firstLine="560" w:firstLineChars="200"/>
        <w:rPr>
          <w:rFonts w:ascii="黑体" w:eastAsia="黑体"/>
          <w:sz w:val="28"/>
          <w:szCs w:val="28"/>
        </w:rPr>
      </w:pPr>
      <w:r>
        <w:rPr>
          <w:rFonts w:hint="eastAsia" w:ascii="黑体" w:eastAsia="黑体"/>
          <w:sz w:val="28"/>
          <w:szCs w:val="28"/>
        </w:rPr>
        <w:t>六、所需支撑条件</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一）建立校院两级人才工作领导小组，充分发挥人才领导小组的统筹、协调作用，统筹考虑师资队伍建设与学科建设等各类关系。强化二级管理部门人才建设的职责与任务，教师队伍建设成为部门绩效考核的重要内容之一。</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（二）建立校院两级师资队伍建设规划，依据学校的总体规划，各二级学院制订《师资队伍建设计划》，落实师资队伍建设目标。</w:t>
      </w:r>
    </w:p>
    <w:p>
      <w:pPr>
        <w:spacing w:line="480" w:lineRule="exact"/>
        <w:ind w:firstLine="560" w:firstLineChars="200"/>
        <w:rPr>
          <w:rFonts w:ascii="楷体_GB2312" w:eastAsia="楷体_GB2312"/>
          <w:sz w:val="28"/>
          <w:szCs w:val="28"/>
        </w:rPr>
      </w:pPr>
      <w:r>
        <w:rPr>
          <w:rFonts w:hint="eastAsia" w:ascii="楷体_GB2312" w:eastAsia="楷体_GB2312"/>
          <w:sz w:val="28"/>
          <w:szCs w:val="28"/>
        </w:rPr>
        <w:t>（三）以师资队伍建设为根本和出发点，围绕人才引进与培养，统筹考虑经费、场地、设备等各类资源的使用。“十三五”期间，预计投入2亿，重点用于高端领军人才建设、高水平创新团队建设、中青年后备人才培养等。同时鼓励广开渠道，吸引和利用各种社会资源，设立各类人才专项资金用于师资队伍建设。</w:t>
      </w:r>
    </w:p>
    <w:p>
      <w:pPr>
        <w:spacing w:line="480" w:lineRule="exact"/>
        <w:ind w:firstLine="560" w:firstLineChars="200"/>
        <w:rPr>
          <w:rFonts w:hint="eastAsia" w:ascii="黑体" w:eastAsia="黑体"/>
          <w:sz w:val="28"/>
          <w:szCs w:val="28"/>
        </w:rPr>
      </w:pPr>
    </w:p>
    <w:p>
      <w:pPr>
        <w:spacing w:line="480" w:lineRule="exact"/>
        <w:ind w:firstLine="560" w:firstLineChars="200"/>
        <w:rPr>
          <w:rFonts w:ascii="黑体" w:eastAsia="黑体"/>
          <w:sz w:val="28"/>
          <w:szCs w:val="28"/>
        </w:rPr>
      </w:pPr>
      <w:r>
        <w:rPr>
          <w:rFonts w:hint="eastAsia" w:ascii="黑体" w:eastAsia="黑体"/>
          <w:sz w:val="28"/>
          <w:szCs w:val="28"/>
        </w:rPr>
        <w:t>七、分年度实施方案</w:t>
      </w:r>
    </w:p>
    <w:p>
      <w:pPr>
        <w:spacing w:line="480" w:lineRule="exact"/>
        <w:jc w:val="center"/>
        <w:rPr>
          <w:rFonts w:hint="eastAsia" w:ascii="仿宋" w:hAnsi="仿宋" w:eastAsia="仿宋"/>
          <w:sz w:val="28"/>
          <w:szCs w:val="28"/>
        </w:rPr>
      </w:pPr>
    </w:p>
    <w:p>
      <w:pPr>
        <w:spacing w:line="480" w:lineRule="exact"/>
        <w:jc w:val="center"/>
        <w:rPr>
          <w:rFonts w:hint="eastAsia" w:ascii="仿宋" w:hAnsi="仿宋" w:eastAsia="仿宋"/>
          <w:sz w:val="28"/>
          <w:szCs w:val="28"/>
        </w:rPr>
      </w:pPr>
    </w:p>
    <w:p>
      <w:pPr>
        <w:spacing w:line="480" w:lineRule="exact"/>
        <w:jc w:val="center"/>
        <w:rPr>
          <w:rFonts w:ascii="仿宋" w:hAnsi="仿宋" w:eastAsia="仿宋"/>
          <w:b/>
          <w:bCs/>
          <w:sz w:val="28"/>
          <w:szCs w:val="28"/>
        </w:rPr>
      </w:pPr>
      <w:r>
        <w:rPr>
          <w:rFonts w:hint="eastAsia" w:ascii="仿宋" w:hAnsi="仿宋" w:eastAsia="仿宋"/>
          <w:b/>
          <w:bCs/>
          <w:sz w:val="28"/>
          <w:szCs w:val="28"/>
        </w:rPr>
        <w:t>表1</w:t>
      </w:r>
      <w:r>
        <w:rPr>
          <w:rFonts w:ascii="仿宋" w:hAnsi="仿宋" w:eastAsia="仿宋"/>
          <w:b/>
          <w:bCs/>
          <w:sz w:val="28"/>
          <w:szCs w:val="28"/>
        </w:rPr>
        <w:t xml:space="preserve"> </w:t>
      </w:r>
      <w:r>
        <w:rPr>
          <w:rFonts w:hint="eastAsia" w:ascii="仿宋" w:hAnsi="仿宋" w:eastAsia="仿宋"/>
          <w:b/>
          <w:bCs/>
          <w:sz w:val="28"/>
          <w:szCs w:val="28"/>
        </w:rPr>
        <w:t>“十三五”期间我校专任教师发展年度计划表</w:t>
      </w:r>
    </w:p>
    <w:tbl>
      <w:tblPr>
        <w:tblStyle w:val="5"/>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696"/>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107"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序号</w:t>
            </w:r>
          </w:p>
        </w:tc>
        <w:tc>
          <w:tcPr>
            <w:tcW w:w="1696" w:type="dxa"/>
            <w:shd w:val="clear" w:color="auto" w:fill="auto"/>
            <w:vAlign w:val="center"/>
          </w:tcPr>
          <w:p>
            <w:pPr>
              <w:spacing w:line="480" w:lineRule="exact"/>
              <w:jc w:val="center"/>
              <w:rPr>
                <w:rFonts w:ascii="仿宋" w:hAnsi="仿宋" w:eastAsia="仿宋"/>
                <w:sz w:val="28"/>
                <w:szCs w:val="28"/>
              </w:rPr>
            </w:pPr>
            <w:r>
              <w:rPr>
                <w:rFonts w:hint="eastAsia" w:ascii="仿宋" w:hAnsi="仿宋" w:eastAsia="仿宋"/>
                <w:sz w:val="28"/>
                <w:szCs w:val="28"/>
              </w:rPr>
              <w:t>年度</w:t>
            </w:r>
          </w:p>
        </w:tc>
        <w:tc>
          <w:tcPr>
            <w:tcW w:w="5702" w:type="dxa"/>
            <w:shd w:val="clear" w:color="auto" w:fill="auto"/>
            <w:vAlign w:val="center"/>
          </w:tcPr>
          <w:p>
            <w:pPr>
              <w:spacing w:line="480" w:lineRule="exact"/>
              <w:jc w:val="center"/>
              <w:rPr>
                <w:rFonts w:ascii="仿宋" w:hAnsi="仿宋" w:eastAsia="仿宋"/>
                <w:sz w:val="28"/>
                <w:szCs w:val="28"/>
              </w:rPr>
            </w:pPr>
            <w:r>
              <w:rPr>
                <w:rFonts w:hint="eastAsia" w:ascii="仿宋" w:hAnsi="仿宋" w:eastAsia="仿宋"/>
                <w:sz w:val="28"/>
                <w:szCs w:val="28"/>
              </w:rPr>
              <w:t>预计达到的专任教师总数（人）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7"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w:t>
            </w:r>
          </w:p>
        </w:tc>
        <w:tc>
          <w:tcPr>
            <w:tcW w:w="1696" w:type="dxa"/>
            <w:shd w:val="clear" w:color="auto" w:fill="auto"/>
            <w:vAlign w:val="center"/>
          </w:tcPr>
          <w:p>
            <w:pPr>
              <w:spacing w:line="480" w:lineRule="exact"/>
              <w:jc w:val="center"/>
              <w:rPr>
                <w:rFonts w:ascii="仿宋" w:hAnsi="仿宋" w:eastAsia="仿宋"/>
                <w:sz w:val="28"/>
                <w:szCs w:val="28"/>
              </w:rPr>
            </w:pPr>
            <w:r>
              <w:rPr>
                <w:rFonts w:hint="eastAsia" w:ascii="仿宋" w:hAnsi="仿宋" w:eastAsia="仿宋"/>
                <w:sz w:val="28"/>
                <w:szCs w:val="28"/>
              </w:rPr>
              <w:t>2016</w:t>
            </w:r>
          </w:p>
        </w:tc>
        <w:tc>
          <w:tcPr>
            <w:tcW w:w="5702" w:type="dxa"/>
            <w:shd w:val="clear" w:color="auto" w:fill="auto"/>
            <w:vAlign w:val="center"/>
          </w:tcPr>
          <w:p>
            <w:pPr>
              <w:spacing w:line="480" w:lineRule="exact"/>
              <w:jc w:val="center"/>
              <w:rPr>
                <w:rFonts w:ascii="仿宋" w:hAnsi="仿宋" w:eastAsia="仿宋"/>
                <w:sz w:val="28"/>
                <w:szCs w:val="28"/>
              </w:rPr>
            </w:pPr>
            <w:r>
              <w:rPr>
                <w:rFonts w:hint="eastAsia" w:ascii="仿宋" w:hAnsi="仿宋" w:eastAsia="仿宋"/>
                <w:sz w:val="28"/>
                <w:szCs w:val="28"/>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107"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2</w:t>
            </w:r>
          </w:p>
        </w:tc>
        <w:tc>
          <w:tcPr>
            <w:tcW w:w="1696" w:type="dxa"/>
            <w:shd w:val="clear" w:color="auto" w:fill="auto"/>
            <w:vAlign w:val="center"/>
          </w:tcPr>
          <w:p>
            <w:pPr>
              <w:spacing w:line="480" w:lineRule="exact"/>
              <w:jc w:val="center"/>
              <w:rPr>
                <w:rFonts w:ascii="仿宋" w:hAnsi="仿宋" w:eastAsia="仿宋"/>
                <w:sz w:val="28"/>
                <w:szCs w:val="28"/>
              </w:rPr>
            </w:pPr>
            <w:r>
              <w:rPr>
                <w:rFonts w:hint="eastAsia" w:ascii="仿宋" w:hAnsi="仿宋" w:eastAsia="仿宋"/>
                <w:sz w:val="28"/>
                <w:szCs w:val="28"/>
              </w:rPr>
              <w:t>2017</w:t>
            </w:r>
          </w:p>
        </w:tc>
        <w:tc>
          <w:tcPr>
            <w:tcW w:w="5702" w:type="dxa"/>
            <w:shd w:val="clear" w:color="auto" w:fill="auto"/>
            <w:vAlign w:val="center"/>
          </w:tcPr>
          <w:p>
            <w:pPr>
              <w:spacing w:line="480" w:lineRule="exact"/>
              <w:jc w:val="center"/>
              <w:rPr>
                <w:rFonts w:ascii="仿宋" w:hAnsi="仿宋" w:eastAsia="仿宋"/>
                <w:sz w:val="28"/>
                <w:szCs w:val="28"/>
              </w:rPr>
            </w:pPr>
            <w:r>
              <w:rPr>
                <w:rFonts w:hint="eastAsia" w:ascii="仿宋" w:hAnsi="仿宋" w:eastAsia="仿宋"/>
                <w:sz w:val="28"/>
                <w:szCs w:val="28"/>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07"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3</w:t>
            </w:r>
          </w:p>
        </w:tc>
        <w:tc>
          <w:tcPr>
            <w:tcW w:w="1696" w:type="dxa"/>
            <w:shd w:val="clear" w:color="auto" w:fill="auto"/>
            <w:vAlign w:val="center"/>
          </w:tcPr>
          <w:p>
            <w:pPr>
              <w:spacing w:line="480" w:lineRule="exact"/>
              <w:jc w:val="center"/>
              <w:rPr>
                <w:rFonts w:ascii="仿宋" w:hAnsi="仿宋" w:eastAsia="仿宋"/>
                <w:sz w:val="28"/>
                <w:szCs w:val="28"/>
              </w:rPr>
            </w:pPr>
            <w:r>
              <w:rPr>
                <w:rFonts w:hint="eastAsia" w:ascii="仿宋" w:hAnsi="仿宋" w:eastAsia="仿宋"/>
                <w:sz w:val="28"/>
                <w:szCs w:val="28"/>
              </w:rPr>
              <w:t>2018</w:t>
            </w:r>
          </w:p>
        </w:tc>
        <w:tc>
          <w:tcPr>
            <w:tcW w:w="5702" w:type="dxa"/>
            <w:shd w:val="clear" w:color="auto" w:fill="auto"/>
            <w:vAlign w:val="center"/>
          </w:tcPr>
          <w:p>
            <w:pPr>
              <w:spacing w:line="480" w:lineRule="exact"/>
              <w:jc w:val="center"/>
              <w:rPr>
                <w:rFonts w:ascii="仿宋" w:hAnsi="仿宋" w:eastAsia="仿宋"/>
                <w:sz w:val="28"/>
                <w:szCs w:val="28"/>
              </w:rPr>
            </w:pPr>
            <w:r>
              <w:rPr>
                <w:rFonts w:hint="eastAsia" w:ascii="仿宋" w:hAnsi="仿宋" w:eastAsia="仿宋"/>
                <w:sz w:val="28"/>
                <w:szCs w:val="2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107"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4</w:t>
            </w:r>
          </w:p>
        </w:tc>
        <w:tc>
          <w:tcPr>
            <w:tcW w:w="1696" w:type="dxa"/>
            <w:shd w:val="clear" w:color="auto" w:fill="auto"/>
            <w:vAlign w:val="center"/>
          </w:tcPr>
          <w:p>
            <w:pPr>
              <w:spacing w:line="480" w:lineRule="exact"/>
              <w:jc w:val="center"/>
              <w:rPr>
                <w:rFonts w:ascii="仿宋" w:hAnsi="仿宋" w:eastAsia="仿宋"/>
                <w:sz w:val="28"/>
                <w:szCs w:val="28"/>
              </w:rPr>
            </w:pPr>
            <w:r>
              <w:rPr>
                <w:rFonts w:hint="eastAsia" w:ascii="仿宋" w:hAnsi="仿宋" w:eastAsia="仿宋"/>
                <w:sz w:val="28"/>
                <w:szCs w:val="28"/>
              </w:rPr>
              <w:t>2019</w:t>
            </w:r>
          </w:p>
        </w:tc>
        <w:tc>
          <w:tcPr>
            <w:tcW w:w="5702" w:type="dxa"/>
            <w:shd w:val="clear" w:color="auto" w:fill="auto"/>
            <w:vAlign w:val="center"/>
          </w:tcPr>
          <w:p>
            <w:pPr>
              <w:spacing w:line="480" w:lineRule="exact"/>
              <w:jc w:val="center"/>
              <w:rPr>
                <w:rFonts w:ascii="仿宋" w:hAnsi="仿宋" w:eastAsia="仿宋"/>
                <w:sz w:val="28"/>
                <w:szCs w:val="28"/>
              </w:rPr>
            </w:pPr>
            <w:r>
              <w:rPr>
                <w:rFonts w:hint="eastAsia" w:ascii="仿宋" w:hAnsi="仿宋" w:eastAsia="仿宋"/>
                <w:sz w:val="28"/>
                <w:szCs w:val="28"/>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107"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5</w:t>
            </w:r>
          </w:p>
        </w:tc>
        <w:tc>
          <w:tcPr>
            <w:tcW w:w="1696" w:type="dxa"/>
            <w:shd w:val="clear" w:color="auto" w:fill="auto"/>
            <w:vAlign w:val="center"/>
          </w:tcPr>
          <w:p>
            <w:pPr>
              <w:spacing w:line="480" w:lineRule="exact"/>
              <w:jc w:val="center"/>
              <w:rPr>
                <w:rFonts w:ascii="仿宋" w:hAnsi="仿宋" w:eastAsia="仿宋"/>
                <w:sz w:val="28"/>
                <w:szCs w:val="28"/>
              </w:rPr>
            </w:pPr>
            <w:r>
              <w:rPr>
                <w:rFonts w:hint="eastAsia" w:ascii="仿宋" w:hAnsi="仿宋" w:eastAsia="仿宋"/>
                <w:sz w:val="28"/>
                <w:szCs w:val="28"/>
              </w:rPr>
              <w:t>2020</w:t>
            </w:r>
          </w:p>
        </w:tc>
        <w:tc>
          <w:tcPr>
            <w:tcW w:w="5702" w:type="dxa"/>
            <w:shd w:val="clear" w:color="auto" w:fill="auto"/>
            <w:vAlign w:val="center"/>
          </w:tcPr>
          <w:p>
            <w:pPr>
              <w:spacing w:line="480" w:lineRule="exact"/>
              <w:jc w:val="center"/>
              <w:rPr>
                <w:rFonts w:ascii="仿宋" w:hAnsi="仿宋" w:eastAsia="仿宋"/>
                <w:sz w:val="28"/>
                <w:szCs w:val="28"/>
              </w:rPr>
            </w:pPr>
            <w:r>
              <w:rPr>
                <w:rFonts w:hint="eastAsia" w:ascii="仿宋" w:hAnsi="仿宋" w:eastAsia="仿宋"/>
                <w:sz w:val="28"/>
                <w:szCs w:val="28"/>
              </w:rPr>
              <w:t>850</w:t>
            </w:r>
          </w:p>
        </w:tc>
      </w:tr>
    </w:tbl>
    <w:p>
      <w:pPr>
        <w:spacing w:line="480" w:lineRule="exact"/>
        <w:ind w:right="1120"/>
        <w:jc w:val="both"/>
        <w:rPr>
          <w:rFonts w:ascii="仿宋" w:hAnsi="仿宋" w:eastAsia="仿宋"/>
          <w:sz w:val="28"/>
          <w:szCs w:val="28"/>
        </w:rPr>
      </w:pPr>
    </w:p>
    <w:p>
      <w:pPr>
        <w:spacing w:line="480" w:lineRule="exact"/>
        <w:ind w:right="1120"/>
        <w:jc w:val="center"/>
        <w:rPr>
          <w:rFonts w:ascii="仿宋" w:hAnsi="仿宋" w:eastAsia="仿宋"/>
          <w:sz w:val="28"/>
          <w:szCs w:val="28"/>
        </w:rPr>
      </w:pPr>
      <w:r>
        <w:rPr>
          <w:rFonts w:ascii="仿宋" w:hAnsi="仿宋" w:eastAsia="仿宋"/>
          <w:b/>
          <w:bCs/>
          <w:sz w:val="28"/>
          <w:szCs w:val="28"/>
        </w:rPr>
        <w:t>表</w:t>
      </w:r>
      <w:r>
        <w:rPr>
          <w:rFonts w:hint="eastAsia" w:ascii="仿宋" w:hAnsi="仿宋" w:eastAsia="仿宋"/>
          <w:b/>
          <w:bCs/>
          <w:sz w:val="28"/>
          <w:szCs w:val="28"/>
        </w:rPr>
        <w:t>2</w:t>
      </w:r>
      <w:r>
        <w:rPr>
          <w:rFonts w:ascii="仿宋" w:hAnsi="仿宋" w:eastAsia="仿宋"/>
          <w:b/>
          <w:bCs/>
          <w:sz w:val="28"/>
          <w:szCs w:val="28"/>
        </w:rPr>
        <w:t xml:space="preserve"> </w:t>
      </w:r>
      <w:r>
        <w:rPr>
          <w:rFonts w:hint="eastAsia" w:ascii="仿宋" w:hAnsi="仿宋" w:eastAsia="仿宋"/>
          <w:b/>
          <w:bCs/>
          <w:sz w:val="28"/>
          <w:szCs w:val="28"/>
        </w:rPr>
        <w:t xml:space="preserve">经费预算表 </w:t>
      </w:r>
      <w:r>
        <w:rPr>
          <w:rFonts w:ascii="仿宋" w:hAnsi="仿宋" w:eastAsia="仿宋"/>
          <w:sz w:val="28"/>
          <w:szCs w:val="28"/>
        </w:rPr>
        <w:t xml:space="preserve">  </w:t>
      </w:r>
      <w:r>
        <w:rPr>
          <w:rFonts w:hint="eastAsia" w:ascii="仿宋" w:hAnsi="仿宋" w:eastAsia="仿宋"/>
          <w:sz w:val="28"/>
          <w:szCs w:val="28"/>
        </w:rPr>
        <w:t>（单位：万元）</w:t>
      </w:r>
    </w:p>
    <w:tbl>
      <w:tblPr>
        <w:tblStyle w:val="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134"/>
        <w:gridCol w:w="1134"/>
        <w:gridCol w:w="1183"/>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418" w:type="dxa"/>
          </w:tcPr>
          <w:p>
            <w:pPr>
              <w:spacing w:line="480" w:lineRule="exact"/>
              <w:jc w:val="center"/>
              <w:rPr>
                <w:rFonts w:ascii="仿宋" w:hAnsi="仿宋" w:eastAsia="仿宋"/>
                <w:kern w:val="2"/>
                <w:sz w:val="28"/>
                <w:szCs w:val="28"/>
              </w:rPr>
            </w:pPr>
          </w:p>
        </w:tc>
        <w:tc>
          <w:tcPr>
            <w:tcW w:w="2551"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项目</w:t>
            </w:r>
          </w:p>
        </w:tc>
        <w:tc>
          <w:tcPr>
            <w:tcW w:w="1134"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2018年</w:t>
            </w:r>
          </w:p>
        </w:tc>
        <w:tc>
          <w:tcPr>
            <w:tcW w:w="1134"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2019年</w:t>
            </w:r>
          </w:p>
        </w:tc>
        <w:tc>
          <w:tcPr>
            <w:tcW w:w="1183"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2020年</w:t>
            </w:r>
          </w:p>
        </w:tc>
        <w:tc>
          <w:tcPr>
            <w:tcW w:w="1085"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1418" w:type="dxa"/>
            <w:vMerge w:val="restart"/>
          </w:tcPr>
          <w:p>
            <w:pPr>
              <w:spacing w:line="480" w:lineRule="exact"/>
              <w:rPr>
                <w:rFonts w:hint="eastAsia" w:ascii="仿宋" w:hAnsi="仿宋" w:eastAsia="仿宋"/>
                <w:kern w:val="2"/>
                <w:sz w:val="28"/>
                <w:szCs w:val="28"/>
              </w:rPr>
            </w:pPr>
          </w:p>
          <w:p>
            <w:pPr>
              <w:spacing w:line="480" w:lineRule="exact"/>
              <w:jc w:val="center"/>
              <w:rPr>
                <w:rFonts w:ascii="仿宋" w:hAnsi="仿宋" w:eastAsia="仿宋"/>
                <w:kern w:val="2"/>
                <w:sz w:val="28"/>
                <w:szCs w:val="28"/>
              </w:rPr>
            </w:pPr>
            <w:r>
              <w:rPr>
                <w:rFonts w:hint="eastAsia" w:ascii="仿宋" w:hAnsi="仿宋" w:eastAsia="仿宋"/>
                <w:kern w:val="2"/>
                <w:sz w:val="28"/>
                <w:szCs w:val="28"/>
              </w:rPr>
              <w:t>常规人才</w:t>
            </w:r>
          </w:p>
        </w:tc>
        <w:tc>
          <w:tcPr>
            <w:tcW w:w="2551"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安家费及住房补贴</w:t>
            </w:r>
          </w:p>
        </w:tc>
        <w:tc>
          <w:tcPr>
            <w:tcW w:w="1134"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260</w:t>
            </w:r>
          </w:p>
        </w:tc>
        <w:tc>
          <w:tcPr>
            <w:tcW w:w="1134"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300</w:t>
            </w:r>
          </w:p>
        </w:tc>
        <w:tc>
          <w:tcPr>
            <w:tcW w:w="1183"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350</w:t>
            </w:r>
          </w:p>
        </w:tc>
        <w:tc>
          <w:tcPr>
            <w:tcW w:w="1085"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418" w:type="dxa"/>
            <w:vMerge w:val="continue"/>
          </w:tcPr>
          <w:p>
            <w:pPr>
              <w:spacing w:line="480" w:lineRule="exact"/>
              <w:jc w:val="center"/>
              <w:rPr>
                <w:rFonts w:ascii="仿宋" w:hAnsi="仿宋" w:eastAsia="仿宋"/>
                <w:kern w:val="2"/>
                <w:sz w:val="28"/>
                <w:szCs w:val="28"/>
              </w:rPr>
            </w:pPr>
          </w:p>
        </w:tc>
        <w:tc>
          <w:tcPr>
            <w:tcW w:w="2551"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科研启动经费</w:t>
            </w:r>
          </w:p>
        </w:tc>
        <w:tc>
          <w:tcPr>
            <w:tcW w:w="1134"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150</w:t>
            </w:r>
          </w:p>
        </w:tc>
        <w:tc>
          <w:tcPr>
            <w:tcW w:w="1134"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240</w:t>
            </w:r>
          </w:p>
        </w:tc>
        <w:tc>
          <w:tcPr>
            <w:tcW w:w="1183"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300</w:t>
            </w:r>
          </w:p>
        </w:tc>
        <w:tc>
          <w:tcPr>
            <w:tcW w:w="1085"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418" w:type="dxa"/>
            <w:vMerge w:val="continue"/>
          </w:tcPr>
          <w:p>
            <w:pPr>
              <w:spacing w:line="480" w:lineRule="exact"/>
              <w:jc w:val="center"/>
              <w:rPr>
                <w:rFonts w:ascii="仿宋" w:hAnsi="仿宋" w:eastAsia="仿宋"/>
                <w:kern w:val="2"/>
                <w:sz w:val="28"/>
                <w:szCs w:val="28"/>
              </w:rPr>
            </w:pPr>
          </w:p>
        </w:tc>
        <w:tc>
          <w:tcPr>
            <w:tcW w:w="2551" w:type="dxa"/>
            <w:vAlign w:val="center"/>
          </w:tcPr>
          <w:p>
            <w:pPr>
              <w:spacing w:line="480" w:lineRule="exact"/>
              <w:jc w:val="center"/>
              <w:rPr>
                <w:rFonts w:ascii="仿宋" w:hAnsi="仿宋" w:eastAsia="仿宋"/>
                <w:kern w:val="2"/>
                <w:sz w:val="28"/>
                <w:szCs w:val="28"/>
              </w:rPr>
            </w:pPr>
            <w:r>
              <w:rPr>
                <w:rFonts w:ascii="仿宋" w:hAnsi="仿宋" w:eastAsia="仿宋"/>
                <w:kern w:val="2"/>
                <w:sz w:val="28"/>
                <w:szCs w:val="28"/>
              </w:rPr>
              <w:t>教师专业发展计划经费</w:t>
            </w:r>
          </w:p>
        </w:tc>
        <w:tc>
          <w:tcPr>
            <w:tcW w:w="1134"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400</w:t>
            </w:r>
          </w:p>
        </w:tc>
        <w:tc>
          <w:tcPr>
            <w:tcW w:w="1134"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500</w:t>
            </w:r>
          </w:p>
        </w:tc>
        <w:tc>
          <w:tcPr>
            <w:tcW w:w="1183"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600</w:t>
            </w:r>
          </w:p>
        </w:tc>
        <w:tc>
          <w:tcPr>
            <w:tcW w:w="1085"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418" w:type="dxa"/>
            <w:vMerge w:val="restart"/>
          </w:tcPr>
          <w:p>
            <w:pPr>
              <w:spacing w:line="480" w:lineRule="exact"/>
              <w:jc w:val="center"/>
              <w:rPr>
                <w:rFonts w:ascii="仿宋" w:hAnsi="仿宋" w:eastAsia="仿宋"/>
                <w:kern w:val="2"/>
                <w:sz w:val="28"/>
                <w:szCs w:val="28"/>
              </w:rPr>
            </w:pPr>
            <w:r>
              <w:rPr>
                <w:rFonts w:ascii="仿宋" w:hAnsi="仿宋" w:eastAsia="仿宋"/>
                <w:kern w:val="2"/>
                <w:sz w:val="28"/>
                <w:szCs w:val="28"/>
              </w:rPr>
              <w:t>高端人才</w:t>
            </w:r>
          </w:p>
        </w:tc>
        <w:tc>
          <w:tcPr>
            <w:tcW w:w="2551" w:type="dxa"/>
            <w:vAlign w:val="center"/>
          </w:tcPr>
          <w:p>
            <w:pPr>
              <w:spacing w:line="480" w:lineRule="exact"/>
              <w:ind w:firstLine="280" w:firstLineChars="100"/>
              <w:rPr>
                <w:rFonts w:ascii="仿宋" w:hAnsi="仿宋" w:eastAsia="仿宋"/>
                <w:kern w:val="2"/>
                <w:sz w:val="28"/>
                <w:szCs w:val="28"/>
              </w:rPr>
            </w:pPr>
            <w:r>
              <w:rPr>
                <w:rFonts w:ascii="仿宋" w:hAnsi="仿宋" w:eastAsia="仿宋"/>
                <w:kern w:val="2"/>
                <w:sz w:val="28"/>
                <w:szCs w:val="28"/>
              </w:rPr>
              <w:t>领军人才</w:t>
            </w:r>
          </w:p>
        </w:tc>
        <w:tc>
          <w:tcPr>
            <w:tcW w:w="1134"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5000</w:t>
            </w:r>
          </w:p>
        </w:tc>
        <w:tc>
          <w:tcPr>
            <w:tcW w:w="1134"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5000</w:t>
            </w:r>
          </w:p>
        </w:tc>
        <w:tc>
          <w:tcPr>
            <w:tcW w:w="1183"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5000</w:t>
            </w:r>
          </w:p>
        </w:tc>
        <w:tc>
          <w:tcPr>
            <w:tcW w:w="1085"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418" w:type="dxa"/>
            <w:vMerge w:val="continue"/>
          </w:tcPr>
          <w:p>
            <w:pPr>
              <w:spacing w:line="480" w:lineRule="exact"/>
              <w:jc w:val="center"/>
              <w:rPr>
                <w:rFonts w:ascii="仿宋" w:hAnsi="仿宋" w:eastAsia="仿宋"/>
                <w:kern w:val="2"/>
                <w:sz w:val="28"/>
                <w:szCs w:val="28"/>
              </w:rPr>
            </w:pPr>
          </w:p>
        </w:tc>
        <w:tc>
          <w:tcPr>
            <w:tcW w:w="2551" w:type="dxa"/>
            <w:vAlign w:val="center"/>
          </w:tcPr>
          <w:p>
            <w:pPr>
              <w:spacing w:line="480" w:lineRule="exact"/>
              <w:ind w:firstLine="280" w:firstLineChars="100"/>
              <w:rPr>
                <w:rFonts w:ascii="仿宋" w:hAnsi="仿宋" w:eastAsia="仿宋"/>
                <w:kern w:val="2"/>
                <w:sz w:val="28"/>
                <w:szCs w:val="28"/>
              </w:rPr>
            </w:pPr>
            <w:r>
              <w:rPr>
                <w:rFonts w:ascii="仿宋" w:hAnsi="仿宋" w:eastAsia="仿宋"/>
                <w:kern w:val="2"/>
                <w:sz w:val="28"/>
                <w:szCs w:val="28"/>
              </w:rPr>
              <w:t>青年英才</w:t>
            </w:r>
          </w:p>
        </w:tc>
        <w:tc>
          <w:tcPr>
            <w:tcW w:w="1134"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500</w:t>
            </w:r>
          </w:p>
        </w:tc>
        <w:tc>
          <w:tcPr>
            <w:tcW w:w="1134"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650</w:t>
            </w:r>
          </w:p>
        </w:tc>
        <w:tc>
          <w:tcPr>
            <w:tcW w:w="1183"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750</w:t>
            </w:r>
          </w:p>
        </w:tc>
        <w:tc>
          <w:tcPr>
            <w:tcW w:w="1085"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418" w:type="dxa"/>
          </w:tcPr>
          <w:p>
            <w:pPr>
              <w:spacing w:line="480" w:lineRule="exact"/>
              <w:jc w:val="center"/>
              <w:rPr>
                <w:rFonts w:ascii="仿宋" w:hAnsi="仿宋" w:eastAsia="仿宋"/>
                <w:kern w:val="2"/>
                <w:sz w:val="28"/>
                <w:szCs w:val="28"/>
              </w:rPr>
            </w:pPr>
            <w:r>
              <w:rPr>
                <w:rFonts w:ascii="仿宋" w:hAnsi="仿宋" w:eastAsia="仿宋"/>
                <w:kern w:val="2"/>
                <w:sz w:val="28"/>
                <w:szCs w:val="28"/>
              </w:rPr>
              <w:t>合计</w:t>
            </w:r>
          </w:p>
        </w:tc>
        <w:tc>
          <w:tcPr>
            <w:tcW w:w="2551" w:type="dxa"/>
            <w:vAlign w:val="center"/>
          </w:tcPr>
          <w:p>
            <w:pPr>
              <w:spacing w:line="480" w:lineRule="exact"/>
              <w:ind w:firstLine="280" w:firstLineChars="100"/>
              <w:rPr>
                <w:rFonts w:ascii="仿宋" w:hAnsi="仿宋" w:eastAsia="仿宋"/>
                <w:kern w:val="2"/>
                <w:sz w:val="28"/>
                <w:szCs w:val="28"/>
              </w:rPr>
            </w:pPr>
          </w:p>
        </w:tc>
        <w:tc>
          <w:tcPr>
            <w:tcW w:w="1134"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6310</w:t>
            </w:r>
          </w:p>
        </w:tc>
        <w:tc>
          <w:tcPr>
            <w:tcW w:w="1134"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6690</w:t>
            </w:r>
          </w:p>
        </w:tc>
        <w:tc>
          <w:tcPr>
            <w:tcW w:w="1183"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7000</w:t>
            </w:r>
          </w:p>
        </w:tc>
        <w:tc>
          <w:tcPr>
            <w:tcW w:w="1085" w:type="dxa"/>
            <w:vAlign w:val="center"/>
          </w:tcPr>
          <w:p>
            <w:pPr>
              <w:spacing w:line="480" w:lineRule="exact"/>
              <w:jc w:val="center"/>
              <w:rPr>
                <w:rFonts w:ascii="仿宋" w:hAnsi="仿宋" w:eastAsia="仿宋"/>
                <w:kern w:val="2"/>
                <w:sz w:val="28"/>
                <w:szCs w:val="28"/>
              </w:rPr>
            </w:pPr>
            <w:r>
              <w:rPr>
                <w:rFonts w:hint="eastAsia" w:ascii="仿宋" w:hAnsi="仿宋" w:eastAsia="仿宋"/>
                <w:kern w:val="2"/>
                <w:sz w:val="28"/>
                <w:szCs w:val="28"/>
              </w:rPr>
              <w:t>20000</w:t>
            </w:r>
          </w:p>
        </w:tc>
      </w:tr>
    </w:tbl>
    <w:p>
      <w:pPr>
        <w:snapToGrid w:val="0"/>
        <w:spacing w:line="480" w:lineRule="exact"/>
        <w:rPr>
          <w:rFonts w:ascii="仿宋_GB2312" w:eastAsia="仿宋_GB2312"/>
          <w:color w:val="FF0000"/>
          <w:sz w:val="28"/>
          <w:szCs w:val="28"/>
        </w:rPr>
      </w:pPr>
      <w:bookmarkStart w:id="0" w:name="_GoBack"/>
      <w:bookmarkEnd w:id="0"/>
    </w:p>
    <w:sectPr>
      <w:footerReference r:id="rId3" w:type="default"/>
      <w:pgSz w:w="11906" w:h="16838"/>
      <w:pgMar w:top="2098" w:right="1588"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 w:hAnsi="仿宋" w:eastAsia="仿宋"/>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E4"/>
    <w:rsid w:val="0005619D"/>
    <w:rsid w:val="00065D10"/>
    <w:rsid w:val="000C3D8B"/>
    <w:rsid w:val="000D4554"/>
    <w:rsid w:val="000E37A3"/>
    <w:rsid w:val="000F7F5E"/>
    <w:rsid w:val="0017275B"/>
    <w:rsid w:val="001E01D7"/>
    <w:rsid w:val="001E13DF"/>
    <w:rsid w:val="001E5E06"/>
    <w:rsid w:val="002250DA"/>
    <w:rsid w:val="002554BC"/>
    <w:rsid w:val="002C01C9"/>
    <w:rsid w:val="003D7C3E"/>
    <w:rsid w:val="00413D2A"/>
    <w:rsid w:val="004C40EF"/>
    <w:rsid w:val="0051112F"/>
    <w:rsid w:val="005958A3"/>
    <w:rsid w:val="0060366F"/>
    <w:rsid w:val="00603EDF"/>
    <w:rsid w:val="00656867"/>
    <w:rsid w:val="0066135E"/>
    <w:rsid w:val="006804E4"/>
    <w:rsid w:val="006910C6"/>
    <w:rsid w:val="006943B8"/>
    <w:rsid w:val="006E1AD9"/>
    <w:rsid w:val="00742068"/>
    <w:rsid w:val="00797F6A"/>
    <w:rsid w:val="007D56EA"/>
    <w:rsid w:val="00844826"/>
    <w:rsid w:val="00966C33"/>
    <w:rsid w:val="0097570C"/>
    <w:rsid w:val="009908D5"/>
    <w:rsid w:val="009B6100"/>
    <w:rsid w:val="00A12445"/>
    <w:rsid w:val="00A13363"/>
    <w:rsid w:val="00A2058C"/>
    <w:rsid w:val="00A40D49"/>
    <w:rsid w:val="00A4600F"/>
    <w:rsid w:val="00A73928"/>
    <w:rsid w:val="00AA47A4"/>
    <w:rsid w:val="00AC397A"/>
    <w:rsid w:val="00AC4EAA"/>
    <w:rsid w:val="00AE386E"/>
    <w:rsid w:val="00B026DC"/>
    <w:rsid w:val="00BE5413"/>
    <w:rsid w:val="00BE7112"/>
    <w:rsid w:val="00C967B9"/>
    <w:rsid w:val="00CA45A0"/>
    <w:rsid w:val="00CF1961"/>
    <w:rsid w:val="00D32A7E"/>
    <w:rsid w:val="00D579ED"/>
    <w:rsid w:val="00DC29A0"/>
    <w:rsid w:val="00DE4D96"/>
    <w:rsid w:val="00E17834"/>
    <w:rsid w:val="00E33424"/>
    <w:rsid w:val="00EA2879"/>
    <w:rsid w:val="00EA53D7"/>
    <w:rsid w:val="00EF3F19"/>
    <w:rsid w:val="00F022F0"/>
    <w:rsid w:val="00F02826"/>
    <w:rsid w:val="00F17805"/>
    <w:rsid w:val="00FF406E"/>
    <w:rsid w:val="00FF5884"/>
    <w:rsid w:val="682A58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778FB-D8FA-4767-86D1-CC3C11760E2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822</Words>
  <Characters>4687</Characters>
  <Lines>39</Lines>
  <Paragraphs>10</Paragraphs>
  <TotalTime>4</TotalTime>
  <ScaleCrop>false</ScaleCrop>
  <LinksUpToDate>false</LinksUpToDate>
  <CharactersWithSpaces>5499</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2018-11-14T01:21:00Z</dcterms:created>
  <dc:creator>微软用户</dc:creator>
  <cp:lastModifiedBy>薇薇-小屁猴</cp:lastModifiedBy>
  <dcterms:modified xsi:type="dcterms:W3CDTF">2018-11-16T06:52:26Z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