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方正小标宋简体" w:hAnsi="黑体" w:eastAsia="方正小标宋简体"/>
          <w:sz w:val="36"/>
          <w:szCs w:val="36"/>
        </w:rPr>
      </w:pPr>
      <w:bookmarkStart w:id="0" w:name="_Toc502593138"/>
      <w:r>
        <w:rPr>
          <w:rFonts w:hint="eastAsia" w:ascii="方正小标宋简体" w:hAnsi="黑体" w:eastAsia="方正小标宋简体"/>
          <w:sz w:val="36"/>
          <w:szCs w:val="36"/>
        </w:rPr>
        <w:t>上海电机学院人才培养“十三五”规划             （</w:t>
      </w:r>
      <w:r>
        <w:rPr>
          <w:rFonts w:ascii="方正小标宋简体" w:hAnsi="黑体" w:eastAsia="方正小标宋简体"/>
          <w:sz w:val="36"/>
          <w:szCs w:val="36"/>
        </w:rPr>
        <w:t>2016-2020</w:t>
      </w:r>
      <w:r>
        <w:rPr>
          <w:rFonts w:hint="eastAsia" w:ascii="方正小标宋简体" w:hAnsi="黑体" w:eastAsia="方正小标宋简体"/>
          <w:sz w:val="36"/>
          <w:szCs w:val="36"/>
        </w:rPr>
        <w:t>年）</w:t>
      </w:r>
      <w:bookmarkEnd w:id="0"/>
    </w:p>
    <w:p>
      <w:pPr>
        <w:spacing w:line="480" w:lineRule="exact"/>
        <w:jc w:val="center"/>
        <w:rPr>
          <w:rFonts w:ascii="方正小标宋简体" w:hAnsi="黑体" w:eastAsia="方正小标宋简体"/>
          <w:sz w:val="36"/>
          <w:szCs w:val="36"/>
        </w:rPr>
      </w:pPr>
      <w:r>
        <w:rPr>
          <w:rFonts w:ascii="方正小标宋简体" w:hAnsi="黑体" w:eastAsia="方正小标宋简体"/>
          <w:sz w:val="36"/>
          <w:szCs w:val="36"/>
        </w:rPr>
        <w:t>（修订稿）</w:t>
      </w:r>
    </w:p>
    <w:p>
      <w:pPr>
        <w:spacing w:line="480" w:lineRule="exact"/>
        <w:jc w:val="center"/>
        <w:rPr>
          <w:rFonts w:hint="eastAsia" w:ascii="方正小标宋简体" w:hAnsi="黑体" w:eastAsia="方正小标宋简体"/>
          <w:sz w:val="36"/>
          <w:szCs w:val="36"/>
        </w:rPr>
      </w:pPr>
    </w:p>
    <w:p>
      <w:pPr>
        <w:spacing w:line="480" w:lineRule="exact"/>
        <w:ind w:firstLine="560" w:firstLineChars="200"/>
        <w:rPr>
          <w:rFonts w:hint="eastAsia" w:ascii="仿宋" w:hAnsi="仿宋" w:eastAsia="仿宋"/>
          <w:sz w:val="28"/>
          <w:szCs w:val="28"/>
        </w:rPr>
      </w:pPr>
      <w:r>
        <w:rPr>
          <w:rFonts w:hint="eastAsia" w:ascii="仿宋" w:hAnsi="仿宋" w:eastAsia="仿宋"/>
          <w:sz w:val="28"/>
          <w:szCs w:val="28"/>
        </w:rPr>
        <w:t>“十三五”时期是学校建设特色鲜明高水平应用技术大学的关键时期，也是学校夯实基础、聚焦内涵发展、深化教育教学改革，迎接教育部本科教学审核评估的关键时期。根据教育部《关于地方本科高校转型发展的指导意见》《上海高等教育布局结构与发展规划（</w:t>
      </w:r>
      <w:r>
        <w:rPr>
          <w:rFonts w:ascii="仿宋" w:hAnsi="仿宋" w:eastAsia="仿宋"/>
          <w:sz w:val="28"/>
          <w:szCs w:val="28"/>
        </w:rPr>
        <w:t>2015-2030年</w:t>
      </w:r>
      <w:r>
        <w:rPr>
          <w:rFonts w:hint="eastAsia" w:ascii="仿宋" w:hAnsi="仿宋" w:eastAsia="仿宋"/>
          <w:sz w:val="28"/>
          <w:szCs w:val="28"/>
        </w:rPr>
        <w:t>）》《上海市属公办高等学校深化综合改革指导意见》和《上海电机学院“十三五”改革和发展规划（2016-2020）》等文件精神，结合学校实际，特制定本规划。</w:t>
      </w:r>
    </w:p>
    <w:p>
      <w:pPr>
        <w:spacing w:line="480" w:lineRule="exact"/>
        <w:ind w:firstLine="560" w:firstLineChars="200"/>
        <w:rPr>
          <w:rFonts w:hint="eastAsia" w:ascii="仿宋" w:hAnsi="仿宋" w:eastAsia="仿宋"/>
          <w:sz w:val="28"/>
          <w:szCs w:val="28"/>
        </w:rPr>
      </w:pPr>
    </w:p>
    <w:p>
      <w:pPr>
        <w:spacing w:line="480" w:lineRule="exact"/>
        <w:ind w:firstLine="560" w:firstLineChars="200"/>
        <w:rPr>
          <w:rFonts w:ascii="黑体" w:eastAsia="黑体"/>
          <w:sz w:val="28"/>
          <w:szCs w:val="28"/>
        </w:rPr>
      </w:pPr>
      <w:r>
        <w:rPr>
          <w:rFonts w:hint="eastAsia" w:ascii="黑体" w:eastAsia="黑体"/>
          <w:sz w:val="28"/>
          <w:szCs w:val="28"/>
        </w:rPr>
        <w:t>一、建设基础与发展环境</w:t>
      </w:r>
    </w:p>
    <w:p>
      <w:pPr>
        <w:spacing w:line="480" w:lineRule="exact"/>
        <w:ind w:firstLine="560" w:firstLineChars="200"/>
        <w:rPr>
          <w:rFonts w:ascii="楷体_GB2312" w:eastAsia="楷体_GB2312"/>
          <w:sz w:val="28"/>
          <w:szCs w:val="28"/>
        </w:rPr>
      </w:pPr>
      <w:r>
        <w:rPr>
          <w:rFonts w:hint="eastAsia" w:ascii="楷体_GB2312" w:eastAsia="楷体_GB2312"/>
          <w:sz w:val="28"/>
          <w:szCs w:val="28"/>
        </w:rPr>
        <w:t>（一）“十二五”主要建设成就</w:t>
      </w:r>
    </w:p>
    <w:p>
      <w:pPr>
        <w:spacing w:line="480" w:lineRule="exact"/>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．统筹规划、凝神聚力，顺利通过本科教学评估</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本科教学工作合格评估是教育部为切实推进高等教育质量保障体系建设，全面提高本科教学水平和人才培养质量而开展的评估工作。</w:t>
      </w:r>
      <w:r>
        <w:rPr>
          <w:rFonts w:ascii="仿宋" w:hAnsi="仿宋" w:eastAsia="仿宋"/>
          <w:sz w:val="28"/>
          <w:szCs w:val="28"/>
        </w:rPr>
        <w:t>2011年学校顺利通过</w:t>
      </w:r>
      <w:r>
        <w:rPr>
          <w:rFonts w:hint="eastAsia" w:ascii="仿宋" w:hAnsi="仿宋" w:eastAsia="仿宋"/>
          <w:sz w:val="28"/>
          <w:szCs w:val="28"/>
        </w:rPr>
        <w:t>教育部本科教学工作合格评估。通过迎评促建，落实整改，学校的教学管理更加规范；通过采集教学状态基本数据、公布年度本科教学质量报告，组织实施专业达标评估、颁布运行教学质量保障体系等举措，学校教学改革不断深入，人才培养质量不断提高，办学实力和办学水平得到全面提升。</w:t>
      </w:r>
    </w:p>
    <w:p>
      <w:pPr>
        <w:spacing w:line="480" w:lineRule="exact"/>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．深化内涵、突出合作，专业课程建设成果显著</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深化</w:t>
      </w:r>
      <w:r>
        <w:rPr>
          <w:rFonts w:ascii="仿宋" w:hAnsi="仿宋" w:eastAsia="仿宋"/>
          <w:sz w:val="28"/>
          <w:szCs w:val="28"/>
        </w:rPr>
        <w:t>专业内涵建设，</w:t>
      </w:r>
      <w:r>
        <w:rPr>
          <w:rFonts w:hint="eastAsia" w:ascii="仿宋" w:hAnsi="仿宋" w:eastAsia="仿宋"/>
          <w:sz w:val="28"/>
          <w:szCs w:val="28"/>
        </w:rPr>
        <w:t>专业建设呈现“国家级专业引领、市级专业试点、校级专业争先”的良好格局。“十二五”</w:t>
      </w:r>
      <w:r>
        <w:rPr>
          <w:rFonts w:ascii="仿宋" w:hAnsi="仿宋" w:eastAsia="仿宋"/>
          <w:sz w:val="28"/>
          <w:szCs w:val="28"/>
        </w:rPr>
        <w:t>期间</w:t>
      </w:r>
      <w:r>
        <w:rPr>
          <w:rFonts w:hint="eastAsia" w:ascii="仿宋" w:hAnsi="仿宋" w:eastAsia="仿宋"/>
          <w:sz w:val="28"/>
          <w:szCs w:val="28"/>
        </w:rPr>
        <w:t>学校获得教育部“卓越工程师教育培养计划”专业</w:t>
      </w:r>
      <w:r>
        <w:rPr>
          <w:rFonts w:ascii="仿宋" w:hAnsi="仿宋" w:eastAsia="仿宋"/>
          <w:sz w:val="28"/>
          <w:szCs w:val="28"/>
        </w:rPr>
        <w:t>3</w:t>
      </w:r>
      <w:r>
        <w:rPr>
          <w:rFonts w:hint="eastAsia" w:ascii="仿宋" w:hAnsi="仿宋" w:eastAsia="仿宋"/>
          <w:sz w:val="28"/>
          <w:szCs w:val="28"/>
        </w:rPr>
        <w:t>个，上海市特色专业</w:t>
      </w:r>
      <w:r>
        <w:rPr>
          <w:rFonts w:ascii="仿宋" w:hAnsi="仿宋" w:eastAsia="仿宋"/>
          <w:sz w:val="28"/>
          <w:szCs w:val="28"/>
        </w:rPr>
        <w:t>6</w:t>
      </w:r>
      <w:r>
        <w:rPr>
          <w:rFonts w:hint="eastAsia" w:ascii="仿宋" w:hAnsi="仿宋" w:eastAsia="仿宋"/>
          <w:sz w:val="28"/>
          <w:szCs w:val="28"/>
        </w:rPr>
        <w:t>个，上海市应用本科试点专业</w:t>
      </w:r>
      <w:r>
        <w:rPr>
          <w:rFonts w:ascii="仿宋" w:hAnsi="仿宋" w:eastAsia="仿宋"/>
          <w:sz w:val="28"/>
          <w:szCs w:val="28"/>
        </w:rPr>
        <w:t>2</w:t>
      </w:r>
      <w:r>
        <w:rPr>
          <w:rFonts w:hint="eastAsia" w:ascii="仿宋" w:hAnsi="仿宋" w:eastAsia="仿宋"/>
          <w:sz w:val="28"/>
          <w:szCs w:val="28"/>
        </w:rPr>
        <w:t>个，上海市中本贯通、中高职贯通培养专业</w:t>
      </w:r>
      <w:r>
        <w:rPr>
          <w:rFonts w:ascii="仿宋" w:hAnsi="仿宋" w:eastAsia="仿宋"/>
          <w:sz w:val="28"/>
          <w:szCs w:val="28"/>
        </w:rPr>
        <w:t>5</w:t>
      </w:r>
      <w:r>
        <w:rPr>
          <w:rFonts w:hint="eastAsia" w:ascii="仿宋" w:hAnsi="仿宋" w:eastAsia="仿宋"/>
          <w:sz w:val="28"/>
          <w:szCs w:val="28"/>
        </w:rPr>
        <w:t>个，国家工程实践教育中心</w:t>
      </w:r>
      <w:r>
        <w:rPr>
          <w:rFonts w:ascii="仿宋" w:hAnsi="仿宋" w:eastAsia="仿宋"/>
          <w:sz w:val="28"/>
          <w:szCs w:val="28"/>
        </w:rPr>
        <w:t>2</w:t>
      </w:r>
      <w:r>
        <w:rPr>
          <w:rFonts w:hint="eastAsia" w:ascii="仿宋" w:hAnsi="仿宋" w:eastAsia="仿宋"/>
          <w:sz w:val="28"/>
          <w:szCs w:val="28"/>
        </w:rPr>
        <w:t>个，上海市实验教学示范中心</w:t>
      </w:r>
      <w:r>
        <w:rPr>
          <w:rFonts w:ascii="仿宋" w:hAnsi="仿宋" w:eastAsia="仿宋"/>
          <w:sz w:val="28"/>
          <w:szCs w:val="28"/>
        </w:rPr>
        <w:t>1</w:t>
      </w:r>
      <w:r>
        <w:rPr>
          <w:rFonts w:hint="eastAsia" w:ascii="仿宋" w:hAnsi="仿宋" w:eastAsia="仿宋"/>
          <w:sz w:val="28"/>
          <w:szCs w:val="28"/>
        </w:rPr>
        <w:t>个，中外合作本科专业</w:t>
      </w:r>
      <w:r>
        <w:rPr>
          <w:rFonts w:ascii="仿宋" w:hAnsi="仿宋" w:eastAsia="仿宋"/>
          <w:sz w:val="28"/>
          <w:szCs w:val="28"/>
        </w:rPr>
        <w:t>1</w:t>
      </w:r>
      <w:r>
        <w:rPr>
          <w:rFonts w:hint="eastAsia" w:ascii="仿宋" w:hAnsi="仿宋" w:eastAsia="仿宋"/>
          <w:sz w:val="28"/>
          <w:szCs w:val="28"/>
        </w:rPr>
        <w:t>个，学校全英语专业</w:t>
      </w:r>
      <w:r>
        <w:rPr>
          <w:rFonts w:ascii="仿宋" w:hAnsi="仿宋" w:eastAsia="仿宋"/>
          <w:sz w:val="28"/>
          <w:szCs w:val="28"/>
        </w:rPr>
        <w:t>2</w:t>
      </w:r>
      <w:r>
        <w:rPr>
          <w:rFonts w:hint="eastAsia" w:ascii="仿宋" w:hAnsi="仿宋" w:eastAsia="仿宋"/>
          <w:sz w:val="28"/>
          <w:szCs w:val="28"/>
        </w:rPr>
        <w:t>个。目前学校已有</w:t>
      </w:r>
      <w:r>
        <w:rPr>
          <w:rFonts w:ascii="仿宋" w:hAnsi="仿宋" w:eastAsia="仿宋"/>
          <w:sz w:val="28"/>
          <w:szCs w:val="28"/>
        </w:rPr>
        <w:t>3</w:t>
      </w:r>
      <w:r>
        <w:rPr>
          <w:rFonts w:hint="eastAsia" w:ascii="仿宋" w:hAnsi="仿宋" w:eastAsia="仿宋"/>
          <w:sz w:val="28"/>
          <w:szCs w:val="28"/>
        </w:rPr>
        <w:t>个“卓越计划”专业在</w:t>
      </w:r>
      <w:r>
        <w:rPr>
          <w:rFonts w:ascii="仿宋" w:hAnsi="仿宋" w:eastAsia="仿宋"/>
          <w:sz w:val="28"/>
          <w:szCs w:val="28"/>
        </w:rPr>
        <w:t>10</w:t>
      </w:r>
      <w:r>
        <w:rPr>
          <w:rFonts w:hint="eastAsia" w:ascii="仿宋" w:hAnsi="仿宋" w:eastAsia="仿宋"/>
          <w:sz w:val="28"/>
          <w:szCs w:val="28"/>
        </w:rPr>
        <w:t>个省市进入一本批次招生。</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课程</w:t>
      </w:r>
      <w:r>
        <w:rPr>
          <w:rFonts w:ascii="仿宋" w:hAnsi="仿宋" w:eastAsia="仿宋"/>
          <w:sz w:val="28"/>
          <w:szCs w:val="28"/>
        </w:rPr>
        <w:t>是提高人才培养质量的根本</w:t>
      </w:r>
      <w:r>
        <w:rPr>
          <w:rFonts w:hint="eastAsia" w:ascii="仿宋" w:hAnsi="仿宋" w:eastAsia="仿宋"/>
          <w:sz w:val="28"/>
          <w:szCs w:val="28"/>
        </w:rPr>
        <w:t>。通过</w:t>
      </w:r>
      <w:r>
        <w:rPr>
          <w:rFonts w:ascii="仿宋" w:hAnsi="仿宋" w:eastAsia="仿宋"/>
          <w:sz w:val="28"/>
          <w:szCs w:val="28"/>
        </w:rPr>
        <w:t>构建</w:t>
      </w:r>
      <w:r>
        <w:rPr>
          <w:rFonts w:hint="eastAsia" w:ascii="仿宋" w:hAnsi="仿宋" w:eastAsia="仿宋"/>
          <w:sz w:val="28"/>
          <w:szCs w:val="28"/>
        </w:rPr>
        <w:t>“学院培育、学校选优、市级精品”课程建设体系，重点建设促进学生成长、凸显专业特色的通识课程、学科专业核心课程、综合实验课程以及全英语课程。“十二五”期间学校共获得上海市精品课程</w:t>
      </w:r>
      <w:r>
        <w:rPr>
          <w:rFonts w:ascii="仿宋" w:hAnsi="仿宋" w:eastAsia="仿宋"/>
          <w:sz w:val="28"/>
          <w:szCs w:val="28"/>
        </w:rPr>
        <w:t>10</w:t>
      </w:r>
      <w:r>
        <w:rPr>
          <w:rFonts w:hint="eastAsia" w:ascii="仿宋" w:hAnsi="仿宋" w:eastAsia="仿宋"/>
          <w:sz w:val="28"/>
          <w:szCs w:val="28"/>
        </w:rPr>
        <w:t>门、全英语课程</w:t>
      </w:r>
      <w:r>
        <w:rPr>
          <w:rFonts w:ascii="仿宋" w:hAnsi="仿宋" w:eastAsia="仿宋"/>
          <w:sz w:val="28"/>
          <w:szCs w:val="28"/>
        </w:rPr>
        <w:t>6</w:t>
      </w:r>
      <w:r>
        <w:rPr>
          <w:rFonts w:hint="eastAsia" w:ascii="仿宋" w:hAnsi="仿宋" w:eastAsia="仿宋"/>
          <w:sz w:val="28"/>
          <w:szCs w:val="28"/>
        </w:rPr>
        <w:t>门、重点课程</w:t>
      </w:r>
      <w:r>
        <w:rPr>
          <w:rFonts w:ascii="仿宋" w:hAnsi="仿宋" w:eastAsia="仿宋"/>
          <w:sz w:val="28"/>
          <w:szCs w:val="28"/>
        </w:rPr>
        <w:t>19</w:t>
      </w:r>
      <w:r>
        <w:rPr>
          <w:rFonts w:hint="eastAsia" w:ascii="仿宋" w:hAnsi="仿宋" w:eastAsia="仿宋"/>
          <w:sz w:val="28"/>
          <w:szCs w:val="28"/>
        </w:rPr>
        <w:t>门，国家“十二五”规划教材</w:t>
      </w:r>
      <w:r>
        <w:rPr>
          <w:rFonts w:ascii="仿宋" w:hAnsi="仿宋" w:eastAsia="仿宋"/>
          <w:sz w:val="28"/>
          <w:szCs w:val="28"/>
        </w:rPr>
        <w:t>2套，上海市优秀教材3套</w:t>
      </w:r>
      <w:r>
        <w:rPr>
          <w:rFonts w:hint="eastAsia" w:ascii="仿宋" w:hAnsi="仿宋" w:eastAsia="仿宋"/>
          <w:sz w:val="28"/>
          <w:szCs w:val="28"/>
        </w:rPr>
        <w:t>，</w:t>
      </w:r>
      <w:r>
        <w:rPr>
          <w:rFonts w:ascii="仿宋" w:hAnsi="仿宋" w:eastAsia="仿宋"/>
          <w:sz w:val="28"/>
          <w:szCs w:val="28"/>
        </w:rPr>
        <w:t>同时</w:t>
      </w:r>
      <w:r>
        <w:rPr>
          <w:rFonts w:hint="eastAsia" w:ascii="仿宋" w:hAnsi="仿宋" w:eastAsia="仿宋"/>
          <w:sz w:val="28"/>
          <w:szCs w:val="28"/>
        </w:rPr>
        <w:t>学校积极</w:t>
      </w:r>
      <w:r>
        <w:rPr>
          <w:rFonts w:ascii="仿宋" w:hAnsi="仿宋" w:eastAsia="仿宋"/>
          <w:sz w:val="28"/>
          <w:szCs w:val="28"/>
        </w:rPr>
        <w:t>引进</w:t>
      </w:r>
      <w:r>
        <w:rPr>
          <w:rFonts w:hint="eastAsia" w:ascii="仿宋" w:hAnsi="仿宋" w:eastAsia="仿宋"/>
          <w:sz w:val="28"/>
          <w:szCs w:val="28"/>
        </w:rPr>
        <w:t>上海高校共享课程、</w:t>
      </w:r>
      <w:r>
        <w:rPr>
          <w:rFonts w:ascii="仿宋" w:hAnsi="仿宋" w:eastAsia="仿宋"/>
          <w:sz w:val="28"/>
          <w:szCs w:val="28"/>
        </w:rPr>
        <w:t>尔雅</w:t>
      </w:r>
      <w:r>
        <w:rPr>
          <w:rFonts w:hint="eastAsia" w:ascii="仿宋" w:hAnsi="仿宋" w:eastAsia="仿宋"/>
          <w:sz w:val="28"/>
          <w:szCs w:val="28"/>
        </w:rPr>
        <w:t>通识</w:t>
      </w:r>
      <w:r>
        <w:rPr>
          <w:rFonts w:ascii="仿宋" w:hAnsi="仿宋" w:eastAsia="仿宋"/>
          <w:sz w:val="28"/>
          <w:szCs w:val="28"/>
        </w:rPr>
        <w:t>课程等</w:t>
      </w:r>
      <w:r>
        <w:rPr>
          <w:rFonts w:hint="eastAsia" w:ascii="仿宋" w:hAnsi="仿宋" w:eastAsia="仿宋"/>
          <w:sz w:val="28"/>
          <w:szCs w:val="28"/>
        </w:rPr>
        <w:t>，使学生不出校门也能感受名校名师课堂。</w:t>
      </w:r>
    </w:p>
    <w:p>
      <w:pPr>
        <w:spacing w:line="480" w:lineRule="exact"/>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．持之以恒、厚积薄发，教学成果奖取得突破</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坚持“技术立校、应用为本”办学方略，坚持高等技术教育办学道路。“十二五”期间学校多项教学成果在国家级和市级的教学成果奖评选中获奖，其中《校企全程联合培养高技能人才的探索与实践》荣获</w:t>
      </w:r>
      <w:r>
        <w:rPr>
          <w:rFonts w:ascii="仿宋" w:hAnsi="仿宋" w:eastAsia="仿宋"/>
          <w:sz w:val="28"/>
          <w:szCs w:val="28"/>
        </w:rPr>
        <w:t>2014</w:t>
      </w:r>
      <w:r>
        <w:rPr>
          <w:rFonts w:hint="eastAsia" w:ascii="仿宋" w:hAnsi="仿宋" w:eastAsia="仿宋"/>
          <w:sz w:val="28"/>
          <w:szCs w:val="28"/>
        </w:rPr>
        <w:t>年国家级教学成果奖一等奖，《高等技术应用型人才培养的改革实践》等</w:t>
      </w:r>
      <w:r>
        <w:rPr>
          <w:rFonts w:ascii="仿宋" w:hAnsi="仿宋" w:eastAsia="仿宋"/>
          <w:sz w:val="28"/>
          <w:szCs w:val="28"/>
        </w:rPr>
        <w:t>2</w:t>
      </w:r>
      <w:r>
        <w:rPr>
          <w:rFonts w:hint="eastAsia" w:ascii="仿宋" w:hAnsi="仿宋" w:eastAsia="仿宋"/>
          <w:sz w:val="28"/>
          <w:szCs w:val="28"/>
        </w:rPr>
        <w:t>项成果获上海市高等教育类教学成果一等奖，《校企互融：“双师型”教师发展模式创新研究与实践》等</w:t>
      </w:r>
      <w:r>
        <w:rPr>
          <w:rFonts w:ascii="仿宋" w:hAnsi="仿宋" w:eastAsia="仿宋"/>
          <w:sz w:val="28"/>
          <w:szCs w:val="28"/>
        </w:rPr>
        <w:t>2</w:t>
      </w:r>
      <w:r>
        <w:rPr>
          <w:rFonts w:hint="eastAsia" w:ascii="仿宋" w:hAnsi="仿宋" w:eastAsia="仿宋"/>
          <w:sz w:val="28"/>
          <w:szCs w:val="28"/>
        </w:rPr>
        <w:t>项成果获上海市高等教育类教学成果二等奖；《</w:t>
      </w:r>
      <w:r>
        <w:rPr>
          <w:rFonts w:ascii="仿宋" w:hAnsi="仿宋" w:eastAsia="仿宋"/>
          <w:sz w:val="28"/>
          <w:szCs w:val="28"/>
        </w:rPr>
        <w:t>3+3+3</w:t>
      </w:r>
      <w:r>
        <w:rPr>
          <w:rFonts w:hint="eastAsia" w:ascii="仿宋" w:hAnsi="仿宋" w:eastAsia="仿宋"/>
          <w:sz w:val="28"/>
          <w:szCs w:val="28"/>
        </w:rPr>
        <w:t>：一种新型的人才培养模式》等</w:t>
      </w:r>
      <w:r>
        <w:rPr>
          <w:rFonts w:ascii="仿宋" w:hAnsi="仿宋" w:eastAsia="仿宋"/>
          <w:sz w:val="28"/>
          <w:szCs w:val="28"/>
        </w:rPr>
        <w:t>2</w:t>
      </w:r>
      <w:r>
        <w:rPr>
          <w:rFonts w:hint="eastAsia" w:ascii="仿宋" w:hAnsi="仿宋" w:eastAsia="仿宋"/>
          <w:sz w:val="28"/>
          <w:szCs w:val="28"/>
        </w:rPr>
        <w:t>项成果获上海市职业教育类教学成果一等奖。学校还在首届上海高校青年教师教学竞赛中，荣获</w:t>
      </w:r>
      <w:r>
        <w:rPr>
          <w:rFonts w:ascii="仿宋" w:hAnsi="仿宋" w:eastAsia="仿宋"/>
          <w:sz w:val="28"/>
          <w:szCs w:val="28"/>
        </w:rPr>
        <w:t>2</w:t>
      </w:r>
      <w:r>
        <w:rPr>
          <w:rFonts w:hint="eastAsia" w:ascii="仿宋" w:hAnsi="仿宋" w:eastAsia="仿宋"/>
          <w:sz w:val="28"/>
          <w:szCs w:val="28"/>
        </w:rPr>
        <w:t>项三等奖和</w:t>
      </w:r>
      <w:r>
        <w:rPr>
          <w:rFonts w:ascii="仿宋" w:hAnsi="仿宋" w:eastAsia="仿宋"/>
          <w:sz w:val="28"/>
          <w:szCs w:val="28"/>
        </w:rPr>
        <w:t>1</w:t>
      </w:r>
      <w:r>
        <w:rPr>
          <w:rFonts w:hint="eastAsia" w:ascii="仿宋" w:hAnsi="仿宋" w:eastAsia="仿宋"/>
          <w:sz w:val="28"/>
          <w:szCs w:val="28"/>
        </w:rPr>
        <w:t>项鼓励奖，在“第一届全国高等院校工程应用技术教师大赛</w:t>
      </w:r>
      <w:r>
        <w:rPr>
          <w:rFonts w:ascii="仿宋" w:hAnsi="仿宋" w:eastAsia="仿宋"/>
          <w:sz w:val="28"/>
          <w:szCs w:val="28"/>
        </w:rPr>
        <w:t>”</w:t>
      </w:r>
      <w:r>
        <w:rPr>
          <w:rFonts w:hint="eastAsia" w:ascii="仿宋" w:hAnsi="仿宋" w:eastAsia="仿宋"/>
          <w:sz w:val="28"/>
          <w:szCs w:val="28"/>
        </w:rPr>
        <w:t>中荣获</w:t>
      </w:r>
      <w:r>
        <w:rPr>
          <w:rFonts w:ascii="仿宋" w:hAnsi="仿宋" w:eastAsia="仿宋"/>
          <w:sz w:val="28"/>
          <w:szCs w:val="28"/>
        </w:rPr>
        <w:t>1项二等奖，</w:t>
      </w:r>
      <w:r>
        <w:rPr>
          <w:rFonts w:hint="eastAsia" w:ascii="仿宋" w:hAnsi="仿宋" w:eastAsia="仿宋"/>
          <w:sz w:val="28"/>
          <w:szCs w:val="28"/>
        </w:rPr>
        <w:t>学生在全国挑战杯等重要赛事上也屡获佳绩。</w:t>
      </w:r>
    </w:p>
    <w:p>
      <w:pPr>
        <w:spacing w:line="480" w:lineRule="exact"/>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．以生为本、积极拓展，注重学生全面发展</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按照“需求导向、多元选择、突出应用、促进开放”的原则，修订完成学校人才培养方案，在注重学生个性化发展的同时，加强素质教育与专业教育协同发展，在满足本专业准出标准的前提下，鼓励学生跨专业或跨院系选修课程，在全面发展的基础上，注重学生个性发展。</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学校在持续推进现有国际合作与交流项目的同时，扎实推进海外名师、海外交流学习项目的建设；通过聘请海外教学名师进校开课、组织学生赴海外学习与交流、接纳海外学生来校进行学历学习或学习交流等方式，进一步提高学生国际视野和交流能力。</w:t>
      </w:r>
    </w:p>
    <w:p>
      <w:pPr>
        <w:spacing w:line="48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．大胆实践、深化改革，教学管理水平不断提升</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学校教学工作逐步完成由学年制管理向学分制管理的转变，并全面实施选课制度、试行秋季、春季、夏季三学期制，</w:t>
      </w:r>
      <w:r>
        <w:rPr>
          <w:rFonts w:ascii="仿宋" w:hAnsi="仿宋" w:eastAsia="仿宋"/>
          <w:sz w:val="28"/>
          <w:szCs w:val="28"/>
        </w:rPr>
        <w:t>推进电子注册等事宜</w:t>
      </w:r>
      <w:r>
        <w:rPr>
          <w:rFonts w:hint="eastAsia" w:ascii="仿宋" w:hAnsi="仿宋" w:eastAsia="仿宋"/>
          <w:sz w:val="28"/>
          <w:szCs w:val="28"/>
        </w:rPr>
        <w:t>，逐步创建了有利于学生自主学习的管理模式。同时</w:t>
      </w:r>
      <w:r>
        <w:rPr>
          <w:rFonts w:ascii="仿宋" w:hAnsi="仿宋" w:eastAsia="仿宋"/>
          <w:sz w:val="28"/>
          <w:szCs w:val="28"/>
        </w:rPr>
        <w:t>加强教学信息系统的建设，</w:t>
      </w:r>
      <w:r>
        <w:rPr>
          <w:rFonts w:hint="eastAsia" w:ascii="仿宋" w:hAnsi="仿宋" w:eastAsia="仿宋"/>
          <w:sz w:val="28"/>
          <w:szCs w:val="28"/>
        </w:rPr>
        <w:t>将学籍管理、课程管理、考试成绩管理和学生信息交流反馈等融为一体，及时掌握教学过程中出现的各种情况，实现了整个教学流程的快速反映和控制。</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建设“三位一体”的教学运行、监控与服务体系，业已形成以教务处为主体的教学运行管理平台、以教学质量管理办公室为主体的教学质量监控平台，以及以教师教学发展中心为主体的教师教学能力提升服务平台，初步搭建了“三位一体”的教学运行、监控与服务综合体系。各二级学院也形成了较为完善的二级管理体系，实现了教学管理重心的进一步下移。</w:t>
      </w:r>
    </w:p>
    <w:p>
      <w:pPr>
        <w:spacing w:line="480" w:lineRule="exact"/>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．加强投入、拓展资源，教学条件持续增长</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学校坚持教育经费优先保障教学需要的原则，不断加大教育经费投入，保证学校教学工作的稳步发展。学校现有教学科研设备资产</w:t>
      </w:r>
      <w:r>
        <w:rPr>
          <w:rFonts w:ascii="仿宋" w:hAnsi="仿宋" w:eastAsia="仿宋"/>
          <w:sz w:val="28"/>
          <w:szCs w:val="28"/>
        </w:rPr>
        <w:t>2.78</w:t>
      </w:r>
      <w:r>
        <w:rPr>
          <w:rFonts w:hint="eastAsia" w:ascii="仿宋" w:hAnsi="仿宋" w:eastAsia="仿宋"/>
          <w:sz w:val="28"/>
          <w:szCs w:val="28"/>
        </w:rPr>
        <w:t>亿元，图书资料</w:t>
      </w:r>
      <w:r>
        <w:rPr>
          <w:rFonts w:ascii="仿宋" w:hAnsi="仿宋" w:eastAsia="仿宋"/>
          <w:sz w:val="28"/>
          <w:szCs w:val="28"/>
        </w:rPr>
        <w:t>藏书1,048,347</w:t>
      </w:r>
      <w:r>
        <w:rPr>
          <w:rFonts w:hint="eastAsia" w:ascii="仿宋" w:hAnsi="仿宋" w:eastAsia="仿宋"/>
          <w:sz w:val="28"/>
          <w:szCs w:val="28"/>
        </w:rPr>
        <w:t>册，具有</w:t>
      </w:r>
      <w:r>
        <w:rPr>
          <w:rFonts w:ascii="仿宋" w:hAnsi="仿宋" w:eastAsia="仿宋"/>
          <w:sz w:val="28"/>
          <w:szCs w:val="28"/>
        </w:rPr>
        <w:t>RFID</w:t>
      </w:r>
      <w:r>
        <w:rPr>
          <w:rFonts w:hint="eastAsia" w:ascii="仿宋" w:hAnsi="仿宋" w:eastAsia="仿宋"/>
          <w:sz w:val="28"/>
          <w:szCs w:val="28"/>
        </w:rPr>
        <w:t>图书自助借还系统、移动学习平台等设施，建有各类实验室</w:t>
      </w:r>
      <w:r>
        <w:rPr>
          <w:rFonts w:ascii="仿宋" w:hAnsi="仿宋" w:eastAsia="仿宋"/>
          <w:sz w:val="28"/>
          <w:szCs w:val="28"/>
        </w:rPr>
        <w:t>43</w:t>
      </w:r>
      <w:r>
        <w:rPr>
          <w:rFonts w:hint="eastAsia" w:ascii="仿宋" w:hAnsi="仿宋" w:eastAsia="仿宋"/>
          <w:sz w:val="28"/>
          <w:szCs w:val="28"/>
        </w:rPr>
        <w:t>个，各级校外实习基地达</w:t>
      </w:r>
      <w:r>
        <w:rPr>
          <w:rFonts w:ascii="仿宋" w:hAnsi="仿宋" w:eastAsia="仿宋"/>
          <w:sz w:val="28"/>
          <w:szCs w:val="28"/>
        </w:rPr>
        <w:t>58</w:t>
      </w:r>
      <w:r>
        <w:rPr>
          <w:rFonts w:hint="eastAsia" w:ascii="仿宋" w:hAnsi="仿宋" w:eastAsia="仿宋"/>
          <w:sz w:val="28"/>
          <w:szCs w:val="28"/>
        </w:rPr>
        <w:t>个。</w:t>
      </w:r>
    </w:p>
    <w:p>
      <w:pPr>
        <w:spacing w:line="480" w:lineRule="exact"/>
        <w:ind w:firstLine="560" w:firstLineChars="200"/>
        <w:rPr>
          <w:rFonts w:ascii="楷体_GB2312" w:eastAsia="楷体_GB2312"/>
          <w:sz w:val="28"/>
          <w:szCs w:val="28"/>
        </w:rPr>
      </w:pPr>
      <w:r>
        <w:rPr>
          <w:rFonts w:hint="eastAsia" w:ascii="楷体_GB2312" w:eastAsia="楷体_GB2312"/>
          <w:sz w:val="28"/>
          <w:szCs w:val="28"/>
        </w:rPr>
        <w:t>（二）“十三五”面临的发展环境</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学校人才培养虽然在“十二五”期间取得了长足进步，审视自身，当前学校教育教学工作还存在一些不足</w:t>
      </w:r>
      <w:r>
        <w:rPr>
          <w:rFonts w:ascii="仿宋" w:hAnsi="仿宋" w:eastAsia="仿宋"/>
          <w:sz w:val="28"/>
          <w:szCs w:val="28"/>
        </w:rPr>
        <w:t>,</w:t>
      </w:r>
      <w:r>
        <w:rPr>
          <w:rFonts w:hint="eastAsia" w:ascii="仿宋" w:hAnsi="仿宋" w:eastAsia="仿宋"/>
          <w:sz w:val="28"/>
          <w:szCs w:val="28"/>
        </w:rPr>
        <w:t>学校教学改革的持续深化和人才培养质量有待</w:t>
      </w:r>
      <w:r>
        <w:rPr>
          <w:rFonts w:ascii="仿宋" w:hAnsi="仿宋" w:eastAsia="仿宋"/>
          <w:sz w:val="28"/>
          <w:szCs w:val="28"/>
        </w:rPr>
        <w:t>进一步</w:t>
      </w:r>
      <w:r>
        <w:rPr>
          <w:rFonts w:hint="eastAsia" w:ascii="仿宋" w:hAnsi="仿宋" w:eastAsia="仿宋"/>
          <w:sz w:val="28"/>
          <w:szCs w:val="28"/>
        </w:rPr>
        <w:t>提高。主要表现在：人才</w:t>
      </w:r>
      <w:r>
        <w:rPr>
          <w:rFonts w:ascii="仿宋" w:hAnsi="仿宋" w:eastAsia="仿宋"/>
          <w:sz w:val="28"/>
          <w:szCs w:val="28"/>
        </w:rPr>
        <w:t>培养方案与</w:t>
      </w:r>
      <w:r>
        <w:rPr>
          <w:rFonts w:hint="eastAsia" w:ascii="仿宋" w:hAnsi="仿宋" w:eastAsia="仿宋"/>
          <w:sz w:val="28"/>
          <w:szCs w:val="28"/>
        </w:rPr>
        <w:t>学校办学</w:t>
      </w:r>
      <w:r>
        <w:rPr>
          <w:rFonts w:ascii="仿宋" w:hAnsi="仿宋" w:eastAsia="仿宋"/>
          <w:sz w:val="28"/>
          <w:szCs w:val="28"/>
        </w:rPr>
        <w:t>方略</w:t>
      </w:r>
      <w:r>
        <w:rPr>
          <w:rFonts w:hint="eastAsia" w:ascii="仿宋" w:hAnsi="仿宋" w:eastAsia="仿宋"/>
          <w:sz w:val="28"/>
          <w:szCs w:val="28"/>
        </w:rPr>
        <w:t>、专业</w:t>
      </w:r>
      <w:r>
        <w:rPr>
          <w:rFonts w:ascii="仿宋" w:hAnsi="仿宋" w:eastAsia="仿宋"/>
          <w:sz w:val="28"/>
          <w:szCs w:val="28"/>
        </w:rPr>
        <w:t>办学定位</w:t>
      </w:r>
      <w:r>
        <w:rPr>
          <w:rFonts w:hint="eastAsia" w:ascii="仿宋" w:hAnsi="仿宋" w:eastAsia="仿宋"/>
          <w:sz w:val="28"/>
          <w:szCs w:val="28"/>
        </w:rPr>
        <w:t>的</w:t>
      </w:r>
      <w:r>
        <w:rPr>
          <w:rFonts w:ascii="仿宋" w:hAnsi="仿宋" w:eastAsia="仿宋"/>
          <w:sz w:val="28"/>
          <w:szCs w:val="28"/>
        </w:rPr>
        <w:t>匹配性、达成度等还有待进一步优化</w:t>
      </w:r>
      <w:r>
        <w:rPr>
          <w:rFonts w:hint="eastAsia" w:ascii="仿宋" w:hAnsi="仿宋" w:eastAsia="仿宋"/>
          <w:sz w:val="28"/>
          <w:szCs w:val="28"/>
        </w:rPr>
        <w:t>，</w:t>
      </w:r>
      <w:r>
        <w:rPr>
          <w:rFonts w:ascii="仿宋" w:hAnsi="仿宋" w:eastAsia="仿宋"/>
          <w:sz w:val="28"/>
          <w:szCs w:val="28"/>
        </w:rPr>
        <w:t>学生自主学习氛围尚不浓厚；</w:t>
      </w:r>
      <w:r>
        <w:rPr>
          <w:rFonts w:hint="eastAsia" w:ascii="仿宋" w:hAnsi="仿宋" w:eastAsia="仿宋"/>
          <w:sz w:val="28"/>
          <w:szCs w:val="28"/>
        </w:rPr>
        <w:t>教师教学能力与建设特色鲜明的高水平应用技术大学的要求相比，还存在一定差距，师资队伍建设还需加强；教学管理能力和水平、</w:t>
      </w:r>
      <w:r>
        <w:rPr>
          <w:rFonts w:ascii="仿宋" w:hAnsi="仿宋" w:eastAsia="仿宋"/>
          <w:sz w:val="28"/>
          <w:szCs w:val="28"/>
        </w:rPr>
        <w:t>教学持续改进等</w:t>
      </w:r>
      <w:r>
        <w:rPr>
          <w:rFonts w:hint="eastAsia" w:ascii="仿宋" w:hAnsi="仿宋" w:eastAsia="仿宋"/>
          <w:sz w:val="28"/>
          <w:szCs w:val="28"/>
        </w:rPr>
        <w:t>有待于进一步提高，优质教育教学资源及配套还不够丰富。</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党的十九大指出教育强国是中华民族伟大复兴的基础工程，必须把教育事业放在优先位置。建设一流应用型本科院校就是要深化产教融合、校企合作，实现高等教育内涵式发展。“十三五”时期，我国产业经济的转型发展，“中国制造</w:t>
      </w:r>
      <w:r>
        <w:rPr>
          <w:rFonts w:ascii="仿宋" w:hAnsi="仿宋" w:eastAsia="仿宋"/>
          <w:sz w:val="28"/>
          <w:szCs w:val="28"/>
        </w:rPr>
        <w:t>2025”的全面实施</w:t>
      </w:r>
      <w:r>
        <w:rPr>
          <w:rFonts w:hint="eastAsia" w:ascii="仿宋" w:hAnsi="仿宋" w:eastAsia="仿宋"/>
          <w:sz w:val="28"/>
          <w:szCs w:val="28"/>
        </w:rPr>
        <w:t>以及上海“四个中心”、“全球科技创新中心”、临港“国际智能制造中心”等都对学校人才培养提出新的挑战与机遇。</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1．“新工科”引领高校新一轮学科专业发展</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新一轮科技革命和产业变革，颠覆了现有很多产业的形态、分工和组织方式，重构了人们的生活、学习和思维方式，改变了人与世界的关系。以新技术、新产业、新业态和新模式为特征的新经济呼唤新工科建设，国家一系列重大战略深入实施呼唤新工科建设，产业转型升级和新旧动能转换呼唤新工科建设，提升国际竞争力和国家硬实力呼唤新工科建设。“新工科”一方面是随着产业发展变革，成长出一些新兴的工科领域，另一方面是对现有工科的新要求。“新工科”改革的核心就是建立产业需求导向的人才培养模式，一方面树立创新型工程教育理念，提升工科学生创新创业能力。另一方面，树立全周期的工程教育理念。</w:t>
      </w:r>
    </w:p>
    <w:p>
      <w:pPr>
        <w:spacing w:line="480" w:lineRule="exact"/>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．实施高校分类定位管理</w:t>
      </w:r>
      <w:r>
        <w:rPr>
          <w:rFonts w:ascii="仿宋" w:hAnsi="仿宋" w:eastAsia="仿宋"/>
          <w:sz w:val="28"/>
          <w:szCs w:val="28"/>
        </w:rPr>
        <w:t>——</w:t>
      </w:r>
      <w:r>
        <w:rPr>
          <w:rFonts w:hint="eastAsia" w:ascii="仿宋" w:hAnsi="仿宋" w:eastAsia="仿宋"/>
          <w:sz w:val="28"/>
          <w:szCs w:val="28"/>
        </w:rPr>
        <w:t>大力推行本科教育改革</w:t>
      </w:r>
    </w:p>
    <w:p>
      <w:pPr>
        <w:spacing w:line="480" w:lineRule="exact"/>
        <w:ind w:firstLine="560" w:firstLineChars="200"/>
        <w:rPr>
          <w:rFonts w:ascii="仿宋" w:hAnsi="仿宋" w:eastAsia="仿宋"/>
          <w:sz w:val="28"/>
          <w:szCs w:val="28"/>
        </w:rPr>
      </w:pPr>
      <w:r>
        <w:rPr>
          <w:rFonts w:ascii="仿宋" w:hAnsi="仿宋" w:eastAsia="仿宋"/>
          <w:sz w:val="28"/>
          <w:szCs w:val="28"/>
        </w:rPr>
        <w:t>上海市高等教育将</w:t>
      </w:r>
      <w:r>
        <w:rPr>
          <w:rFonts w:hint="eastAsia" w:ascii="仿宋" w:hAnsi="仿宋" w:eastAsia="仿宋"/>
          <w:sz w:val="28"/>
          <w:szCs w:val="28"/>
        </w:rPr>
        <w:t>大力推动本科教育教学改革，鼓励行业特色鲜明的应用型本科专业，与行业企业积极开展合作共建，促使人才培养紧密对接需求；鼓励各学校参照国际标准建设本科专业，以国际同类一流专业为参照，建设一批教学内容和方式达到国际标准的本科专业，积极参加专业认证；鼓励高校立足实际创新教育教学模式，着力改变单一课堂知识传授和考试成绩评价的传统教学模式，为学生提供丰富选择，把创新创业和社会实践等作为高校人才培养的重要环节。开展</w:t>
      </w:r>
      <w:r>
        <w:rPr>
          <w:rFonts w:ascii="仿宋" w:hAnsi="仿宋" w:eastAsia="仿宋"/>
          <w:sz w:val="28"/>
          <w:szCs w:val="28"/>
        </w:rPr>
        <w:t>五</w:t>
      </w:r>
      <w:r>
        <w:rPr>
          <w:rFonts w:hint="eastAsia" w:ascii="仿宋" w:hAnsi="仿宋" w:eastAsia="仿宋"/>
          <w:sz w:val="28"/>
          <w:szCs w:val="28"/>
        </w:rPr>
        <w:t>年一轮的校内本科专业自我评估制度，形成常规性校内本科教学质量评估、持续改进的保障机制。</w:t>
      </w:r>
    </w:p>
    <w:p>
      <w:pPr>
        <w:spacing w:line="480" w:lineRule="exact"/>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．构建现代职业教育体系</w:t>
      </w:r>
      <w:r>
        <w:rPr>
          <w:rFonts w:ascii="仿宋" w:hAnsi="仿宋" w:eastAsia="仿宋"/>
          <w:sz w:val="28"/>
          <w:szCs w:val="28"/>
        </w:rPr>
        <w:t>——</w:t>
      </w:r>
      <w:r>
        <w:rPr>
          <w:rFonts w:hint="eastAsia" w:ascii="仿宋" w:hAnsi="仿宋" w:eastAsia="仿宋"/>
          <w:sz w:val="28"/>
          <w:szCs w:val="28"/>
        </w:rPr>
        <w:t>探索贯通培养“立交桥”</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十三五”期间，上海市将</w:t>
      </w:r>
      <w:r>
        <w:rPr>
          <w:rFonts w:hint="eastAsia" w:ascii="仿宋" w:hAnsi="仿宋" w:eastAsia="仿宋"/>
          <w:sz w:val="28"/>
          <w:szCs w:val="28"/>
        </w:rPr>
        <w:t>根据产业和岗位需求，探索构建“中职——专科高职——应用型本科——专业学位研究生”相衔接的培养体系，明确不同学段职业教育人才培养的定位，积极发挥行业企业在学校办学评价中的主体作用，把行业标准和岗位要求作为学校职业教育专业教学质量评价的重要依据，建立覆盖专业硕士与专业博士、行业与学校共同参与、相对完整的高层次应用型人才培养体系，满足行业产业对高层次应用型人才的需求。</w:t>
      </w:r>
    </w:p>
    <w:p>
      <w:pPr>
        <w:spacing w:line="480" w:lineRule="exact"/>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．全面推行</w:t>
      </w:r>
      <w:r>
        <w:rPr>
          <w:rFonts w:ascii="仿宋" w:hAnsi="仿宋" w:eastAsia="仿宋"/>
          <w:sz w:val="28"/>
          <w:szCs w:val="28"/>
        </w:rPr>
        <w:t>招生</w:t>
      </w:r>
      <w:r>
        <w:rPr>
          <w:rFonts w:hint="eastAsia" w:ascii="仿宋" w:hAnsi="仿宋" w:eastAsia="仿宋"/>
          <w:sz w:val="28"/>
          <w:szCs w:val="28"/>
        </w:rPr>
        <w:t>改革</w:t>
      </w:r>
      <w:r>
        <w:rPr>
          <w:rFonts w:ascii="仿宋" w:hAnsi="仿宋" w:eastAsia="仿宋"/>
          <w:sz w:val="28"/>
          <w:szCs w:val="28"/>
        </w:rPr>
        <w:t>——</w:t>
      </w:r>
      <w:r>
        <w:rPr>
          <w:rFonts w:hint="eastAsia" w:ascii="仿宋" w:hAnsi="仿宋" w:eastAsia="仿宋"/>
          <w:sz w:val="28"/>
          <w:szCs w:val="28"/>
        </w:rPr>
        <w:t>优化学科</w:t>
      </w:r>
      <w:r>
        <w:rPr>
          <w:rFonts w:ascii="仿宋" w:hAnsi="仿宋" w:eastAsia="仿宋"/>
          <w:sz w:val="28"/>
          <w:szCs w:val="28"/>
        </w:rPr>
        <w:t>专业</w:t>
      </w:r>
      <w:r>
        <w:rPr>
          <w:rFonts w:hint="eastAsia" w:ascii="仿宋" w:hAnsi="仿宋" w:eastAsia="仿宋"/>
          <w:sz w:val="28"/>
          <w:szCs w:val="28"/>
        </w:rPr>
        <w:t>布局</w:t>
      </w:r>
    </w:p>
    <w:p>
      <w:pPr>
        <w:spacing w:line="480" w:lineRule="exact"/>
        <w:ind w:firstLine="560" w:firstLineChars="200"/>
        <w:rPr>
          <w:rFonts w:hint="eastAsia" w:ascii="仿宋" w:hAnsi="仿宋" w:eastAsia="仿宋"/>
          <w:sz w:val="28"/>
          <w:szCs w:val="28"/>
        </w:rPr>
      </w:pPr>
      <w:r>
        <w:rPr>
          <w:rFonts w:hint="eastAsia" w:ascii="仿宋" w:hAnsi="仿宋" w:eastAsia="仿宋"/>
          <w:sz w:val="28"/>
          <w:szCs w:val="28"/>
        </w:rPr>
        <w:t>《关于积极推进“互联网</w:t>
      </w:r>
      <w:r>
        <w:rPr>
          <w:rFonts w:ascii="仿宋" w:hAnsi="仿宋" w:eastAsia="仿宋"/>
          <w:sz w:val="28"/>
          <w:szCs w:val="28"/>
        </w:rPr>
        <w:t>+</w:t>
      </w:r>
      <w:r>
        <w:rPr>
          <w:rFonts w:hint="eastAsia" w:ascii="仿宋" w:hAnsi="仿宋" w:eastAsia="仿宋"/>
          <w:sz w:val="28"/>
          <w:szCs w:val="28"/>
        </w:rPr>
        <w:t>”行动的指导意见》《中国制造</w:t>
      </w:r>
      <w:r>
        <w:rPr>
          <w:rFonts w:ascii="仿宋" w:hAnsi="仿宋" w:eastAsia="仿宋"/>
          <w:sz w:val="28"/>
          <w:szCs w:val="28"/>
        </w:rPr>
        <w:t>2025</w:t>
      </w:r>
      <w:r>
        <w:rPr>
          <w:rFonts w:hint="eastAsia" w:ascii="仿宋" w:hAnsi="仿宋" w:eastAsia="仿宋"/>
          <w:sz w:val="28"/>
          <w:szCs w:val="28"/>
        </w:rPr>
        <w:t>规划纲要》的实施，以信息化与工业化深度融合为主线，推动移动互联网、云计算、大数据、物联网等与现代制造业结合，</w:t>
      </w:r>
      <w:r>
        <w:rPr>
          <w:rFonts w:ascii="仿宋" w:hAnsi="仿宋" w:eastAsia="仿宋"/>
          <w:sz w:val="28"/>
          <w:szCs w:val="28"/>
        </w:rPr>
        <w:t>大力</w:t>
      </w:r>
      <w:r>
        <w:rPr>
          <w:rFonts w:hint="eastAsia" w:ascii="仿宋" w:hAnsi="仿宋" w:eastAsia="仿宋"/>
          <w:sz w:val="28"/>
          <w:szCs w:val="28"/>
        </w:rPr>
        <w:t>发展新一代信息技术等</w:t>
      </w:r>
      <w:r>
        <w:rPr>
          <w:rFonts w:ascii="仿宋" w:hAnsi="仿宋" w:eastAsia="仿宋"/>
          <w:sz w:val="28"/>
          <w:szCs w:val="28"/>
        </w:rPr>
        <w:t>10</w:t>
      </w:r>
      <w:r>
        <w:rPr>
          <w:rFonts w:hint="eastAsia" w:ascii="仿宋" w:hAnsi="仿宋" w:eastAsia="仿宋"/>
          <w:sz w:val="28"/>
          <w:szCs w:val="28"/>
        </w:rPr>
        <w:t>大领域，对高校学科专业发展提出新要求；上海</w:t>
      </w:r>
      <w:r>
        <w:rPr>
          <w:rFonts w:ascii="仿宋" w:hAnsi="仿宋" w:eastAsia="仿宋"/>
          <w:sz w:val="28"/>
          <w:szCs w:val="28"/>
        </w:rPr>
        <w:t>市2017</w:t>
      </w:r>
      <w:r>
        <w:rPr>
          <w:rFonts w:hint="eastAsia" w:ascii="仿宋" w:hAnsi="仿宋" w:eastAsia="仿宋"/>
          <w:sz w:val="28"/>
          <w:szCs w:val="28"/>
        </w:rPr>
        <w:t>年招生</w:t>
      </w:r>
      <w:r>
        <w:rPr>
          <w:rFonts w:ascii="仿宋" w:hAnsi="仿宋" w:eastAsia="仿宋"/>
          <w:sz w:val="28"/>
          <w:szCs w:val="28"/>
        </w:rPr>
        <w:t>改革</w:t>
      </w:r>
      <w:r>
        <w:rPr>
          <w:rFonts w:hint="eastAsia" w:ascii="仿宋" w:hAnsi="仿宋" w:eastAsia="仿宋"/>
          <w:sz w:val="28"/>
          <w:szCs w:val="28"/>
        </w:rPr>
        <w:t>方案</w:t>
      </w:r>
      <w:r>
        <w:rPr>
          <w:rFonts w:ascii="仿宋" w:hAnsi="仿宋" w:eastAsia="仿宋"/>
          <w:sz w:val="28"/>
          <w:szCs w:val="28"/>
        </w:rPr>
        <w:t>的实施，</w:t>
      </w:r>
      <w:r>
        <w:rPr>
          <w:rFonts w:hint="eastAsia" w:ascii="仿宋" w:hAnsi="仿宋" w:eastAsia="仿宋"/>
          <w:sz w:val="28"/>
          <w:szCs w:val="28"/>
        </w:rPr>
        <w:t>必将促使各</w:t>
      </w:r>
      <w:r>
        <w:rPr>
          <w:rFonts w:ascii="仿宋" w:hAnsi="仿宋" w:eastAsia="仿宋"/>
          <w:sz w:val="28"/>
          <w:szCs w:val="28"/>
        </w:rPr>
        <w:t>高校</w:t>
      </w:r>
      <w:r>
        <w:rPr>
          <w:rFonts w:hint="eastAsia" w:ascii="仿宋" w:hAnsi="仿宋" w:eastAsia="仿宋"/>
          <w:sz w:val="28"/>
          <w:szCs w:val="28"/>
        </w:rPr>
        <w:t>学科</w:t>
      </w:r>
      <w:r>
        <w:rPr>
          <w:rFonts w:ascii="仿宋" w:hAnsi="仿宋" w:eastAsia="仿宋"/>
          <w:sz w:val="28"/>
          <w:szCs w:val="28"/>
        </w:rPr>
        <w:t>专业</w:t>
      </w:r>
      <w:r>
        <w:rPr>
          <w:rFonts w:hint="eastAsia" w:ascii="仿宋" w:hAnsi="仿宋" w:eastAsia="仿宋"/>
          <w:sz w:val="28"/>
          <w:szCs w:val="28"/>
        </w:rPr>
        <w:t>开展</w:t>
      </w:r>
      <w:r>
        <w:rPr>
          <w:rFonts w:ascii="仿宋" w:hAnsi="仿宋" w:eastAsia="仿宋"/>
          <w:sz w:val="28"/>
          <w:szCs w:val="28"/>
        </w:rPr>
        <w:t>新的优化布局。各高校必然以此为契机，</w:t>
      </w:r>
      <w:r>
        <w:rPr>
          <w:rFonts w:hint="eastAsia" w:ascii="仿宋" w:hAnsi="仿宋" w:eastAsia="仿宋"/>
          <w:sz w:val="28"/>
          <w:szCs w:val="28"/>
        </w:rPr>
        <w:t>开展资源整合</w:t>
      </w:r>
      <w:r>
        <w:rPr>
          <w:rFonts w:ascii="仿宋" w:hAnsi="仿宋" w:eastAsia="仿宋"/>
          <w:sz w:val="28"/>
          <w:szCs w:val="28"/>
        </w:rPr>
        <w:t>，</w:t>
      </w:r>
      <w:r>
        <w:rPr>
          <w:rFonts w:hint="eastAsia" w:ascii="仿宋" w:hAnsi="仿宋" w:eastAsia="仿宋"/>
          <w:sz w:val="28"/>
          <w:szCs w:val="28"/>
        </w:rPr>
        <w:t>科学</w:t>
      </w:r>
      <w:r>
        <w:rPr>
          <w:rFonts w:ascii="仿宋" w:hAnsi="仿宋" w:eastAsia="仿宋"/>
          <w:sz w:val="28"/>
          <w:szCs w:val="28"/>
        </w:rPr>
        <w:t>调整</w:t>
      </w:r>
      <w:r>
        <w:rPr>
          <w:rFonts w:hint="eastAsia" w:ascii="仿宋" w:hAnsi="仿宋" w:eastAsia="仿宋"/>
          <w:sz w:val="28"/>
          <w:szCs w:val="28"/>
        </w:rPr>
        <w:t>学科专业布局，提升学校整体实力。</w:t>
      </w:r>
    </w:p>
    <w:p>
      <w:pPr>
        <w:spacing w:line="480" w:lineRule="exact"/>
        <w:ind w:firstLine="560" w:firstLineChars="200"/>
        <w:rPr>
          <w:rFonts w:hint="eastAsia" w:ascii="仿宋" w:hAnsi="仿宋" w:eastAsia="仿宋"/>
          <w:sz w:val="28"/>
          <w:szCs w:val="28"/>
        </w:rPr>
      </w:pPr>
    </w:p>
    <w:p>
      <w:pPr>
        <w:spacing w:line="480" w:lineRule="exact"/>
        <w:ind w:firstLine="560" w:firstLineChars="200"/>
        <w:rPr>
          <w:rFonts w:ascii="黑体" w:eastAsia="黑体"/>
          <w:sz w:val="28"/>
          <w:szCs w:val="28"/>
        </w:rPr>
      </w:pPr>
      <w:r>
        <w:rPr>
          <w:rFonts w:hint="eastAsia" w:ascii="黑体" w:eastAsia="黑体"/>
          <w:sz w:val="28"/>
          <w:szCs w:val="28"/>
        </w:rPr>
        <w:t>二、建设思路与发展目标</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1．指导思想</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以党的十九大精神为指导，以建设特色鲜明高水平应用技术大学、提高人才培养质量为目标，以上海社会经济发展、产业转型升级以及建设“全球科技创新中心”和“四个中心”发展需要为导向，根据学校</w:t>
      </w:r>
      <w:r>
        <w:rPr>
          <w:rFonts w:ascii="仿宋" w:hAnsi="仿宋" w:eastAsia="仿宋"/>
          <w:sz w:val="28"/>
          <w:szCs w:val="28"/>
        </w:rPr>
        <w:t>“十三五”</w:t>
      </w:r>
      <w:r>
        <w:rPr>
          <w:rFonts w:hint="eastAsia" w:ascii="仿宋" w:hAnsi="仿宋" w:eastAsia="仿宋"/>
          <w:sz w:val="28"/>
          <w:szCs w:val="28"/>
        </w:rPr>
        <w:t>改革</w:t>
      </w:r>
      <w:r>
        <w:rPr>
          <w:rFonts w:ascii="仿宋" w:hAnsi="仿宋" w:eastAsia="仿宋"/>
          <w:sz w:val="28"/>
          <w:szCs w:val="28"/>
        </w:rPr>
        <w:t>与发展规划</w:t>
      </w:r>
      <w:r>
        <w:rPr>
          <w:rFonts w:hint="eastAsia" w:ascii="仿宋" w:hAnsi="仿宋" w:eastAsia="仿宋"/>
          <w:sz w:val="28"/>
          <w:szCs w:val="28"/>
        </w:rPr>
        <w:t>总体</w:t>
      </w:r>
      <w:r>
        <w:rPr>
          <w:rFonts w:ascii="仿宋" w:hAnsi="仿宋" w:eastAsia="仿宋"/>
          <w:sz w:val="28"/>
          <w:szCs w:val="28"/>
        </w:rPr>
        <w:t>要求</w:t>
      </w:r>
      <w:r>
        <w:rPr>
          <w:rFonts w:hint="eastAsia" w:ascii="仿宋" w:hAnsi="仿宋" w:eastAsia="仿宋"/>
          <w:sz w:val="28"/>
          <w:szCs w:val="28"/>
        </w:rPr>
        <w:t>，坚持立德树人、以生为本，聚焦内涵发展、</w:t>
      </w:r>
      <w:r>
        <w:rPr>
          <w:rFonts w:ascii="仿宋" w:hAnsi="仿宋" w:eastAsia="仿宋"/>
          <w:sz w:val="28"/>
          <w:szCs w:val="28"/>
        </w:rPr>
        <w:t>深度</w:t>
      </w:r>
      <w:r>
        <w:rPr>
          <w:rFonts w:hint="eastAsia" w:ascii="仿宋" w:hAnsi="仿宋" w:eastAsia="仿宋"/>
          <w:sz w:val="28"/>
          <w:szCs w:val="28"/>
        </w:rPr>
        <w:t>推进产教融合、国际合作，努力为区域经济社会发展和行业一线培养基础实、能力强、素质高、适应快，富有社会责任感和创新精神的高等技术应用型人才。</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建设思路与发展指标</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紧紧围绕立德树人的根本任务，坚持以本为本，推进四个回归，以建设一流本科教育为目标，抓住上海高校“分类评价”机遇，不断深化教育教学改革，实施一流专业建设、特色课程建设、教学质量保障等“三大行动计划”，扎实提升应用型人才培养质量。</w:t>
      </w:r>
    </w:p>
    <w:p>
      <w:pPr>
        <w:spacing w:line="480" w:lineRule="exact"/>
        <w:ind w:firstLine="560" w:firstLineChars="200"/>
        <w:rPr>
          <w:rFonts w:hint="eastAsia" w:ascii="仿宋" w:hAnsi="仿宋" w:eastAsia="仿宋"/>
          <w:sz w:val="28"/>
          <w:szCs w:val="28"/>
        </w:rPr>
      </w:pPr>
      <w:r>
        <w:rPr>
          <w:rFonts w:hint="eastAsia" w:ascii="仿宋" w:hAnsi="仿宋" w:eastAsia="仿宋"/>
          <w:sz w:val="28"/>
          <w:szCs w:val="28"/>
        </w:rPr>
        <w:t>具体指标：全日制学生</w:t>
      </w:r>
      <w:r>
        <w:rPr>
          <w:rFonts w:ascii="仿宋" w:hAnsi="仿宋" w:eastAsia="仿宋"/>
          <w:sz w:val="28"/>
          <w:szCs w:val="28"/>
        </w:rPr>
        <w:t>12600余</w:t>
      </w:r>
      <w:r>
        <w:rPr>
          <w:rFonts w:hint="eastAsia" w:ascii="仿宋" w:hAnsi="仿宋" w:eastAsia="仿宋"/>
          <w:sz w:val="28"/>
          <w:szCs w:val="28"/>
        </w:rPr>
        <w:t>人，其中本科生</w:t>
      </w:r>
      <w:r>
        <w:rPr>
          <w:rFonts w:ascii="仿宋" w:hAnsi="仿宋" w:eastAsia="仿宋"/>
          <w:sz w:val="28"/>
          <w:szCs w:val="28"/>
        </w:rPr>
        <w:t>10000</w:t>
      </w:r>
      <w:r>
        <w:rPr>
          <w:rFonts w:hint="eastAsia" w:ascii="仿宋" w:hAnsi="仿宋" w:eastAsia="仿宋"/>
          <w:sz w:val="28"/>
          <w:szCs w:val="28"/>
        </w:rPr>
        <w:t>人，研究生</w:t>
      </w:r>
      <w:r>
        <w:rPr>
          <w:rFonts w:ascii="仿宋" w:hAnsi="仿宋" w:eastAsia="仿宋"/>
          <w:sz w:val="28"/>
          <w:szCs w:val="28"/>
        </w:rPr>
        <w:t>300</w:t>
      </w:r>
      <w:r>
        <w:rPr>
          <w:rFonts w:hint="eastAsia" w:ascii="仿宋" w:hAnsi="仿宋" w:eastAsia="仿宋"/>
          <w:sz w:val="28"/>
          <w:szCs w:val="28"/>
        </w:rPr>
        <w:t>人、留学生</w:t>
      </w:r>
      <w:r>
        <w:rPr>
          <w:rFonts w:ascii="仿宋" w:hAnsi="仿宋" w:eastAsia="仿宋"/>
          <w:sz w:val="28"/>
          <w:szCs w:val="28"/>
        </w:rPr>
        <w:t>300</w:t>
      </w:r>
      <w:r>
        <w:rPr>
          <w:rFonts w:hint="eastAsia" w:ascii="仿宋" w:hAnsi="仿宋" w:eastAsia="仿宋"/>
          <w:sz w:val="28"/>
          <w:szCs w:val="28"/>
        </w:rPr>
        <w:t>人</w:t>
      </w:r>
      <w:r>
        <w:rPr>
          <w:rFonts w:ascii="仿宋" w:hAnsi="仿宋" w:eastAsia="仿宋"/>
          <w:sz w:val="28"/>
          <w:szCs w:val="28"/>
        </w:rPr>
        <w:t>，</w:t>
      </w:r>
      <w:r>
        <w:rPr>
          <w:rFonts w:hint="eastAsia" w:ascii="仿宋" w:hAnsi="仿宋" w:eastAsia="仿宋"/>
          <w:sz w:val="28"/>
          <w:szCs w:val="28"/>
        </w:rPr>
        <w:t>专科生</w:t>
      </w:r>
      <w:r>
        <w:rPr>
          <w:rFonts w:ascii="仿宋" w:hAnsi="仿宋" w:eastAsia="仿宋"/>
          <w:sz w:val="28"/>
          <w:szCs w:val="28"/>
        </w:rPr>
        <w:t>2000</w:t>
      </w:r>
      <w:r>
        <w:rPr>
          <w:rFonts w:hint="eastAsia" w:ascii="仿宋" w:hAnsi="仿宋" w:eastAsia="仿宋"/>
          <w:sz w:val="28"/>
          <w:szCs w:val="28"/>
        </w:rPr>
        <w:t>人；建设硕士学位点（领域）6个，本科专业</w:t>
      </w:r>
      <w:r>
        <w:rPr>
          <w:rFonts w:ascii="仿宋" w:hAnsi="仿宋" w:eastAsia="仿宋"/>
          <w:sz w:val="28"/>
          <w:szCs w:val="28"/>
        </w:rPr>
        <w:t>35</w:t>
      </w:r>
      <w:r>
        <w:rPr>
          <w:rFonts w:hint="eastAsia" w:ascii="仿宋" w:hAnsi="仿宋" w:eastAsia="仿宋"/>
          <w:sz w:val="28"/>
          <w:szCs w:val="28"/>
        </w:rPr>
        <w:t>个，</w:t>
      </w:r>
      <w:r>
        <w:rPr>
          <w:rFonts w:hint="eastAsia" w:ascii="仿宋" w:hAnsi="仿宋" w:eastAsia="仿宋"/>
          <w:color w:val="auto"/>
          <w:sz w:val="28"/>
          <w:szCs w:val="28"/>
        </w:rPr>
        <w:t>全英语专业4个；建设</w:t>
      </w:r>
      <w:r>
        <w:rPr>
          <w:rFonts w:ascii="仿宋" w:hAnsi="仿宋" w:eastAsia="仿宋"/>
          <w:color w:val="auto"/>
          <w:sz w:val="28"/>
          <w:szCs w:val="28"/>
        </w:rPr>
        <w:t>8个</w:t>
      </w:r>
      <w:r>
        <w:rPr>
          <w:rFonts w:hint="eastAsia" w:ascii="仿宋" w:hAnsi="仿宋" w:eastAsia="仿宋"/>
          <w:color w:val="auto"/>
          <w:sz w:val="28"/>
          <w:szCs w:val="28"/>
        </w:rPr>
        <w:t>及</w:t>
      </w:r>
      <w:r>
        <w:rPr>
          <w:rFonts w:ascii="仿宋" w:hAnsi="仿宋" w:eastAsia="仿宋"/>
          <w:sz w:val="28"/>
          <w:szCs w:val="28"/>
        </w:rPr>
        <w:t>以上</w:t>
      </w:r>
      <w:r>
        <w:rPr>
          <w:rFonts w:hint="eastAsia" w:ascii="仿宋" w:hAnsi="仿宋" w:eastAsia="仿宋"/>
          <w:sz w:val="28"/>
          <w:szCs w:val="28"/>
        </w:rPr>
        <w:t>一流</w:t>
      </w:r>
      <w:r>
        <w:rPr>
          <w:rFonts w:ascii="仿宋" w:hAnsi="仿宋" w:eastAsia="仿宋"/>
          <w:sz w:val="28"/>
          <w:szCs w:val="28"/>
        </w:rPr>
        <w:t>专业，8个</w:t>
      </w:r>
      <w:r>
        <w:rPr>
          <w:rFonts w:hint="eastAsia" w:ascii="仿宋" w:hAnsi="仿宋" w:eastAsia="仿宋"/>
          <w:sz w:val="28"/>
          <w:szCs w:val="28"/>
        </w:rPr>
        <w:t>及以上专业参加相关专业认证；建设</w:t>
      </w:r>
      <w:r>
        <w:rPr>
          <w:rFonts w:ascii="仿宋" w:hAnsi="仿宋" w:eastAsia="仿宋"/>
          <w:sz w:val="28"/>
          <w:szCs w:val="28"/>
        </w:rPr>
        <w:t>30门以上应用型本科人才培养特色课程；获</w:t>
      </w:r>
      <w:r>
        <w:rPr>
          <w:rFonts w:hint="eastAsia" w:ascii="仿宋" w:hAnsi="仿宋" w:eastAsia="仿宋"/>
          <w:sz w:val="28"/>
          <w:szCs w:val="28"/>
        </w:rPr>
        <w:t>教育部规划教材</w:t>
      </w:r>
      <w:r>
        <w:rPr>
          <w:rFonts w:ascii="仿宋" w:hAnsi="仿宋" w:eastAsia="仿宋"/>
          <w:sz w:val="28"/>
          <w:szCs w:val="28"/>
        </w:rPr>
        <w:t>5</w:t>
      </w:r>
      <w:r>
        <w:rPr>
          <w:rFonts w:hint="eastAsia" w:ascii="仿宋" w:hAnsi="仿宋" w:eastAsia="仿宋"/>
          <w:sz w:val="28"/>
          <w:szCs w:val="28"/>
        </w:rPr>
        <w:t>本，实验示范教学中心</w:t>
      </w:r>
      <w:r>
        <w:rPr>
          <w:rFonts w:ascii="仿宋" w:hAnsi="仿宋" w:eastAsia="仿宋"/>
          <w:sz w:val="28"/>
          <w:szCs w:val="28"/>
        </w:rPr>
        <w:t>1</w:t>
      </w:r>
      <w:r>
        <w:rPr>
          <w:rFonts w:hint="eastAsia" w:ascii="仿宋" w:hAnsi="仿宋" w:eastAsia="仿宋"/>
          <w:sz w:val="28"/>
          <w:szCs w:val="28"/>
        </w:rPr>
        <w:t>个，省部级及以上教学成果奖</w:t>
      </w:r>
      <w:r>
        <w:rPr>
          <w:rFonts w:ascii="仿宋" w:hAnsi="仿宋" w:eastAsia="仿宋"/>
          <w:sz w:val="28"/>
          <w:szCs w:val="28"/>
        </w:rPr>
        <w:t>6</w:t>
      </w:r>
      <w:r>
        <w:rPr>
          <w:rFonts w:hint="eastAsia" w:ascii="仿宋" w:hAnsi="仿宋" w:eastAsia="仿宋"/>
          <w:sz w:val="28"/>
          <w:szCs w:val="28"/>
        </w:rPr>
        <w:t>项以上；通过</w:t>
      </w:r>
      <w:r>
        <w:rPr>
          <w:rFonts w:ascii="仿宋" w:hAnsi="仿宋" w:eastAsia="仿宋"/>
          <w:sz w:val="28"/>
          <w:szCs w:val="28"/>
        </w:rPr>
        <w:t>本科教学审核评估</w:t>
      </w:r>
      <w:r>
        <w:rPr>
          <w:rFonts w:hint="eastAsia" w:ascii="仿宋" w:hAnsi="仿宋" w:eastAsia="仿宋"/>
          <w:sz w:val="28"/>
          <w:szCs w:val="28"/>
        </w:rPr>
        <w:t>。</w:t>
      </w:r>
    </w:p>
    <w:p>
      <w:pPr>
        <w:spacing w:line="480" w:lineRule="exact"/>
        <w:ind w:firstLine="560" w:firstLineChars="200"/>
        <w:rPr>
          <w:rFonts w:hint="eastAsia" w:ascii="仿宋" w:hAnsi="仿宋" w:eastAsia="仿宋"/>
          <w:sz w:val="28"/>
          <w:szCs w:val="28"/>
        </w:rPr>
      </w:pPr>
    </w:p>
    <w:p>
      <w:pPr>
        <w:spacing w:line="480" w:lineRule="exact"/>
        <w:ind w:firstLine="560" w:firstLineChars="200"/>
        <w:rPr>
          <w:rFonts w:ascii="黑体" w:eastAsia="黑体"/>
          <w:sz w:val="28"/>
          <w:szCs w:val="28"/>
        </w:rPr>
      </w:pPr>
      <w:r>
        <w:rPr>
          <w:rFonts w:hint="eastAsia" w:ascii="黑体" w:eastAsia="黑体"/>
          <w:sz w:val="28"/>
          <w:szCs w:val="28"/>
        </w:rPr>
        <w:t>三、主要建设任务</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“十三五”期间，学校人才培养将</w:t>
      </w:r>
      <w:r>
        <w:rPr>
          <w:rFonts w:ascii="仿宋" w:hAnsi="仿宋" w:eastAsia="仿宋"/>
          <w:sz w:val="28"/>
          <w:szCs w:val="28"/>
        </w:rPr>
        <w:t>围绕</w:t>
      </w:r>
      <w:r>
        <w:rPr>
          <w:rFonts w:hint="eastAsia" w:ascii="仿宋" w:hAnsi="仿宋" w:eastAsia="仿宋"/>
          <w:sz w:val="28"/>
          <w:szCs w:val="28"/>
        </w:rPr>
        <w:t>“</w:t>
      </w:r>
      <w:r>
        <w:rPr>
          <w:rFonts w:ascii="仿宋" w:hAnsi="仿宋" w:eastAsia="仿宋"/>
          <w:sz w:val="28"/>
          <w:szCs w:val="28"/>
        </w:rPr>
        <w:t>培养</w:t>
      </w:r>
      <w:r>
        <w:rPr>
          <w:rFonts w:hint="eastAsia" w:ascii="仿宋" w:hAnsi="仿宋" w:eastAsia="仿宋"/>
          <w:sz w:val="28"/>
          <w:szCs w:val="28"/>
        </w:rPr>
        <w:t>和造就卓越的高等技术应用型人才”的目标，坚持立德树人、</w:t>
      </w:r>
      <w:r>
        <w:rPr>
          <w:rFonts w:ascii="仿宋" w:hAnsi="仿宋" w:eastAsia="仿宋"/>
          <w:sz w:val="28"/>
          <w:szCs w:val="28"/>
        </w:rPr>
        <w:t>以生为本，</w:t>
      </w:r>
      <w:r>
        <w:rPr>
          <w:rFonts w:hint="eastAsia" w:ascii="仿宋" w:hAnsi="仿宋" w:eastAsia="仿宋"/>
          <w:sz w:val="28"/>
          <w:szCs w:val="28"/>
        </w:rPr>
        <w:t>深化教学</w:t>
      </w:r>
      <w:r>
        <w:rPr>
          <w:rFonts w:ascii="仿宋" w:hAnsi="仿宋" w:eastAsia="仿宋"/>
          <w:sz w:val="28"/>
          <w:szCs w:val="28"/>
        </w:rPr>
        <w:t>改革，提升</w:t>
      </w:r>
      <w:r>
        <w:rPr>
          <w:rFonts w:hint="eastAsia" w:ascii="仿宋" w:hAnsi="仿宋" w:eastAsia="仿宋"/>
          <w:sz w:val="28"/>
          <w:szCs w:val="28"/>
        </w:rPr>
        <w:t>专业综合</w:t>
      </w:r>
      <w:r>
        <w:rPr>
          <w:rFonts w:ascii="仿宋" w:hAnsi="仿宋" w:eastAsia="仿宋"/>
          <w:sz w:val="28"/>
          <w:szCs w:val="28"/>
        </w:rPr>
        <w:t>竞争力</w:t>
      </w:r>
      <w:r>
        <w:rPr>
          <w:rFonts w:hint="eastAsia" w:ascii="仿宋" w:hAnsi="仿宋" w:eastAsia="仿宋"/>
          <w:sz w:val="28"/>
          <w:szCs w:val="28"/>
        </w:rPr>
        <w:t>，为创建一流的应用技术大学而</w:t>
      </w:r>
      <w:r>
        <w:rPr>
          <w:rFonts w:ascii="仿宋" w:hAnsi="仿宋" w:eastAsia="仿宋"/>
          <w:sz w:val="28"/>
          <w:szCs w:val="28"/>
        </w:rPr>
        <w:t>努力奋斗</w:t>
      </w:r>
      <w:r>
        <w:rPr>
          <w:rFonts w:hint="eastAsia" w:ascii="仿宋" w:hAnsi="仿宋" w:eastAsia="仿宋"/>
          <w:sz w:val="28"/>
          <w:szCs w:val="28"/>
        </w:rPr>
        <w:t>。</w:t>
      </w:r>
    </w:p>
    <w:p>
      <w:pPr>
        <w:spacing w:line="480" w:lineRule="exact"/>
        <w:ind w:firstLine="548" w:firstLineChars="196"/>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．立德树人，</w:t>
      </w:r>
      <w:r>
        <w:rPr>
          <w:rFonts w:ascii="仿宋" w:hAnsi="仿宋" w:eastAsia="仿宋"/>
          <w:sz w:val="28"/>
          <w:szCs w:val="28"/>
        </w:rPr>
        <w:t>建立师生共同体</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以习近平同志“青年要自觉践行社会主义核心价值观”、“</w:t>
      </w:r>
      <w:r>
        <w:rPr>
          <w:rFonts w:ascii="仿宋" w:hAnsi="仿宋" w:eastAsia="仿宋"/>
          <w:sz w:val="28"/>
          <w:szCs w:val="28"/>
        </w:rPr>
        <w:t>做一名</w:t>
      </w:r>
      <w:r>
        <w:rPr>
          <w:rFonts w:hint="eastAsia" w:ascii="仿宋" w:hAnsi="仿宋" w:eastAsia="仿宋"/>
          <w:sz w:val="28"/>
          <w:szCs w:val="28"/>
        </w:rPr>
        <w:t>‘四</w:t>
      </w:r>
      <w:r>
        <w:rPr>
          <w:rFonts w:ascii="仿宋" w:hAnsi="仿宋" w:eastAsia="仿宋"/>
          <w:sz w:val="28"/>
          <w:szCs w:val="28"/>
        </w:rPr>
        <w:t>有好教师</w:t>
      </w:r>
      <w:r>
        <w:rPr>
          <w:rFonts w:hint="eastAsia" w:ascii="仿宋" w:hAnsi="仿宋" w:eastAsia="仿宋"/>
          <w:sz w:val="28"/>
          <w:szCs w:val="28"/>
        </w:rPr>
        <w:t>’</w:t>
      </w:r>
      <w:r>
        <w:rPr>
          <w:rFonts w:ascii="仿宋" w:hAnsi="仿宋" w:eastAsia="仿宋"/>
          <w:sz w:val="28"/>
          <w:szCs w:val="28"/>
        </w:rPr>
        <w:t>”</w:t>
      </w:r>
      <w:r>
        <w:rPr>
          <w:rFonts w:hint="eastAsia" w:ascii="仿宋" w:hAnsi="仿宋" w:eastAsia="仿宋"/>
          <w:sz w:val="28"/>
          <w:szCs w:val="28"/>
        </w:rPr>
        <w:t>讲话精神</w:t>
      </w:r>
      <w:r>
        <w:rPr>
          <w:rFonts w:ascii="仿宋" w:hAnsi="仿宋" w:eastAsia="仿宋"/>
          <w:sz w:val="28"/>
          <w:szCs w:val="28"/>
        </w:rPr>
        <w:t>为纲领，坚持立德树人</w:t>
      </w:r>
      <w:r>
        <w:rPr>
          <w:rFonts w:hint="eastAsia" w:ascii="仿宋" w:hAnsi="仿宋" w:eastAsia="仿宋"/>
          <w:sz w:val="28"/>
          <w:szCs w:val="28"/>
        </w:rPr>
        <w:t>，进一步</w:t>
      </w:r>
      <w:r>
        <w:rPr>
          <w:rFonts w:ascii="仿宋" w:hAnsi="仿宋" w:eastAsia="仿宋"/>
          <w:sz w:val="28"/>
          <w:szCs w:val="28"/>
        </w:rPr>
        <w:t>深化课程思政建设</w:t>
      </w:r>
      <w:r>
        <w:rPr>
          <w:rFonts w:hint="eastAsia" w:ascii="仿宋" w:hAnsi="仿宋" w:eastAsia="仿宋"/>
          <w:sz w:val="28"/>
          <w:szCs w:val="28"/>
        </w:rPr>
        <w:t>，充分发挥思政课的显性教育功能与专业课程、综合素养课程的隐性教育功能的协同效应，努力实现知识传授与价值引领的有机统一；加强艺术教育，促进学生高尚情操的养成，使学生具有理想信念、公民素质、健全人格和上海电机学院特色素质。</w:t>
      </w:r>
    </w:p>
    <w:p>
      <w:pPr>
        <w:spacing w:line="480" w:lineRule="exact"/>
        <w:ind w:firstLine="560" w:firstLineChars="200"/>
        <w:rPr>
          <w:rFonts w:ascii="仿宋" w:hAnsi="仿宋" w:eastAsia="仿宋"/>
          <w:sz w:val="28"/>
          <w:szCs w:val="28"/>
        </w:rPr>
      </w:pPr>
      <w:r>
        <w:rPr>
          <w:rFonts w:ascii="仿宋" w:hAnsi="仿宋" w:eastAsia="仿宋"/>
          <w:sz w:val="28"/>
          <w:szCs w:val="28"/>
        </w:rPr>
        <w:t>贯彻落实“</w:t>
      </w:r>
      <w:r>
        <w:rPr>
          <w:rFonts w:hint="eastAsia" w:ascii="仿宋" w:hAnsi="仿宋" w:eastAsia="仿宋"/>
          <w:sz w:val="28"/>
          <w:szCs w:val="28"/>
        </w:rPr>
        <w:t>上海电机学院新进教师任课资格的认定办法</w:t>
      </w:r>
      <w:r>
        <w:rPr>
          <w:rFonts w:ascii="仿宋" w:hAnsi="仿宋" w:eastAsia="仿宋"/>
          <w:sz w:val="28"/>
          <w:szCs w:val="28"/>
        </w:rPr>
        <w:t>”“上海</w:t>
      </w:r>
      <w:r>
        <w:rPr>
          <w:rFonts w:hint="eastAsia" w:ascii="仿宋" w:hAnsi="仿宋" w:eastAsia="仿宋"/>
          <w:sz w:val="28"/>
          <w:szCs w:val="28"/>
        </w:rPr>
        <w:t>电机学院骨干教师教学团队激励计划</w:t>
      </w:r>
      <w:r>
        <w:rPr>
          <w:rFonts w:ascii="仿宋" w:hAnsi="仿宋" w:eastAsia="仿宋"/>
          <w:sz w:val="28"/>
          <w:szCs w:val="28"/>
        </w:rPr>
        <w:t>”</w:t>
      </w:r>
      <w:r>
        <w:rPr>
          <w:rFonts w:hint="eastAsia" w:ascii="仿宋" w:hAnsi="仿宋" w:eastAsia="仿宋"/>
          <w:sz w:val="28"/>
          <w:szCs w:val="28"/>
        </w:rPr>
        <w:t>“上海电机学院教师教学发展学分制管理办法”等制度，进一步提高教师教学能力，树立以生为本的教育教学理念，形成师生互动、教学相长、全员育人、全程育人、全方位育人的人才培养新模式。</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开展优良学风竞赛等活动，重点</w:t>
      </w:r>
      <w:r>
        <w:rPr>
          <w:rFonts w:ascii="仿宋" w:hAnsi="仿宋" w:eastAsia="仿宋"/>
          <w:sz w:val="28"/>
          <w:szCs w:val="28"/>
        </w:rPr>
        <w:t>抓好学生的课堂学习、宿舍学习、考场诚信等主阵地</w:t>
      </w:r>
      <w:r>
        <w:rPr>
          <w:rFonts w:hint="eastAsia" w:ascii="仿宋" w:hAnsi="仿宋" w:eastAsia="仿宋"/>
          <w:sz w:val="28"/>
          <w:szCs w:val="28"/>
        </w:rPr>
        <w:t>，</w:t>
      </w:r>
      <w:r>
        <w:rPr>
          <w:rFonts w:ascii="仿宋" w:hAnsi="仿宋" w:eastAsia="仿宋"/>
          <w:sz w:val="28"/>
          <w:szCs w:val="28"/>
        </w:rPr>
        <w:t>深化落实</w:t>
      </w:r>
      <w:r>
        <w:rPr>
          <w:rFonts w:hint="eastAsia" w:ascii="仿宋" w:hAnsi="仿宋" w:eastAsia="仿宋"/>
          <w:sz w:val="28"/>
          <w:szCs w:val="28"/>
        </w:rPr>
        <w:t>学生全程教育导师制等措施，形成师生共同体，进一步提高学生自主学习能力，提高社会责任感，提高学生社会竞争力。</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2．深化改革，创建</w:t>
      </w:r>
      <w:r>
        <w:rPr>
          <w:rFonts w:ascii="仿宋" w:hAnsi="仿宋" w:eastAsia="仿宋"/>
          <w:sz w:val="28"/>
          <w:szCs w:val="28"/>
        </w:rPr>
        <w:t>人才培养新模式</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）优化培养方案，助推人才培养模式改革</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不断更新人才培养观念，遵循</w:t>
      </w:r>
      <w:r>
        <w:rPr>
          <w:rFonts w:ascii="仿宋" w:hAnsi="仿宋" w:eastAsia="仿宋"/>
          <w:sz w:val="28"/>
          <w:szCs w:val="28"/>
        </w:rPr>
        <w:t>OBE</w:t>
      </w:r>
      <w:r>
        <w:rPr>
          <w:rFonts w:hint="eastAsia" w:ascii="仿宋" w:hAnsi="仿宋" w:eastAsia="仿宋"/>
          <w:sz w:val="28"/>
          <w:szCs w:val="28"/>
        </w:rPr>
        <w:t>（</w:t>
      </w:r>
      <w:r>
        <w:rPr>
          <w:rFonts w:ascii="仿宋" w:hAnsi="仿宋" w:eastAsia="仿宋"/>
          <w:sz w:val="28"/>
          <w:szCs w:val="28"/>
        </w:rPr>
        <w:t>Outcome Based Education</w:t>
      </w:r>
      <w:r>
        <w:rPr>
          <w:rFonts w:hint="eastAsia" w:ascii="仿宋" w:hAnsi="仿宋" w:eastAsia="仿宋"/>
          <w:sz w:val="28"/>
          <w:szCs w:val="28"/>
        </w:rPr>
        <w:t>）</w:t>
      </w:r>
      <w:r>
        <w:rPr>
          <w:rFonts w:ascii="仿宋" w:hAnsi="仿宋" w:eastAsia="仿宋"/>
          <w:sz w:val="28"/>
          <w:szCs w:val="28"/>
        </w:rPr>
        <w:t>模式理念，围绕培养</w:t>
      </w:r>
      <w:r>
        <w:rPr>
          <w:rFonts w:hint="eastAsia" w:ascii="仿宋" w:hAnsi="仿宋" w:eastAsia="仿宋"/>
          <w:sz w:val="28"/>
          <w:szCs w:val="28"/>
        </w:rPr>
        <w:t>和造就卓越的高等技术应用型人才</w:t>
      </w:r>
      <w:r>
        <w:rPr>
          <w:rFonts w:ascii="仿宋" w:hAnsi="仿宋" w:eastAsia="仿宋"/>
          <w:sz w:val="28"/>
          <w:szCs w:val="28"/>
        </w:rPr>
        <w:t>的目标定位，以社会需求为导向，以学生学习产出为主线，以素质教育为基础，以能力培养为核心，进一步优化</w:t>
      </w:r>
      <w:r>
        <w:rPr>
          <w:rFonts w:hint="eastAsia" w:ascii="仿宋" w:hAnsi="仿宋" w:eastAsia="仿宋"/>
          <w:sz w:val="28"/>
          <w:szCs w:val="28"/>
        </w:rPr>
        <w:t>人才培养方案，提高培养目标适切度。各专业按照社会</w:t>
      </w:r>
      <w:r>
        <w:rPr>
          <w:rFonts w:ascii="仿宋" w:hAnsi="仿宋" w:eastAsia="仿宋"/>
          <w:sz w:val="28"/>
          <w:szCs w:val="28"/>
        </w:rPr>
        <w:t>需求</w:t>
      </w:r>
      <w:r>
        <w:rPr>
          <w:rFonts w:hint="eastAsia" w:ascii="仿宋" w:hAnsi="仿宋" w:eastAsia="仿宋"/>
          <w:sz w:val="28"/>
          <w:szCs w:val="28"/>
        </w:rPr>
        <w:t>——培养目标——毕业要求——课程体系的</w:t>
      </w:r>
      <w:r>
        <w:rPr>
          <w:rFonts w:ascii="仿宋" w:hAnsi="仿宋" w:eastAsia="仿宋"/>
          <w:sz w:val="28"/>
          <w:szCs w:val="28"/>
        </w:rPr>
        <w:t>模式组织</w:t>
      </w:r>
      <w:r>
        <w:rPr>
          <w:rFonts w:hint="eastAsia" w:ascii="仿宋" w:hAnsi="仿宋" w:eastAsia="仿宋"/>
          <w:sz w:val="28"/>
          <w:szCs w:val="28"/>
        </w:rPr>
        <w:t>实施</w:t>
      </w:r>
      <w:r>
        <w:rPr>
          <w:rFonts w:ascii="仿宋" w:hAnsi="仿宋" w:eastAsia="仿宋"/>
          <w:sz w:val="28"/>
          <w:szCs w:val="28"/>
        </w:rPr>
        <w:t>教学设计，</w:t>
      </w:r>
      <w:r>
        <w:rPr>
          <w:rFonts w:hint="eastAsia" w:ascii="仿宋" w:hAnsi="仿宋" w:eastAsia="仿宋"/>
          <w:sz w:val="28"/>
          <w:szCs w:val="28"/>
        </w:rPr>
        <w:t>促进课程体系持续改进。</w:t>
      </w:r>
    </w:p>
    <w:p>
      <w:pPr>
        <w:spacing w:line="480" w:lineRule="exact"/>
        <w:ind w:firstLine="660" w:firstLineChars="236"/>
        <w:rPr>
          <w:rFonts w:ascii="仿宋" w:hAnsi="仿宋" w:eastAsia="仿宋"/>
          <w:sz w:val="28"/>
          <w:szCs w:val="28"/>
        </w:rPr>
      </w:pPr>
      <w:r>
        <w:rPr>
          <w:rFonts w:hint="eastAsia" w:ascii="仿宋" w:hAnsi="仿宋" w:eastAsia="仿宋"/>
          <w:sz w:val="28"/>
          <w:szCs w:val="28"/>
        </w:rPr>
        <w:t>（2）先行试点，推动教学革新</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坚持“技术立校、以用为本”的办学方略，以上海市应用型本科试点专业建设为契机，以“德泰</w:t>
      </w:r>
      <w:r>
        <w:rPr>
          <w:rFonts w:ascii="仿宋" w:hAnsi="仿宋" w:eastAsia="仿宋"/>
          <w:sz w:val="28"/>
          <w:szCs w:val="28"/>
        </w:rPr>
        <w:t>学苑</w:t>
      </w:r>
      <w:r>
        <w:rPr>
          <w:rFonts w:hint="eastAsia" w:ascii="仿宋" w:hAnsi="仿宋" w:eastAsia="仿宋"/>
          <w:sz w:val="28"/>
          <w:szCs w:val="28"/>
        </w:rPr>
        <w:t>”、“中德智能制造学院”为抓手，开展“小范围、大动作”的教学改革试点，积极引进国外应用型人才培养先进经验，通过先行先试，形成可推广、可复制的人才培养模式，引领学校学科专业建设。出台相关政策，支持和鼓励各专业进行改革试点。</w:t>
      </w:r>
    </w:p>
    <w:p>
      <w:pPr>
        <w:spacing w:line="480" w:lineRule="exact"/>
        <w:ind w:firstLine="495" w:firstLineChars="177"/>
        <w:rPr>
          <w:rFonts w:ascii="仿宋" w:hAnsi="仿宋" w:eastAsia="仿宋"/>
          <w:sz w:val="28"/>
          <w:szCs w:val="28"/>
        </w:rPr>
      </w:pPr>
      <w:r>
        <w:rPr>
          <w:rFonts w:hint="eastAsia" w:ascii="仿宋" w:hAnsi="仿宋" w:eastAsia="仿宋"/>
          <w:sz w:val="28"/>
          <w:szCs w:val="28"/>
        </w:rPr>
        <w:t>（3）加强</w:t>
      </w:r>
      <w:r>
        <w:rPr>
          <w:rFonts w:ascii="仿宋" w:hAnsi="仿宋" w:eastAsia="仿宋"/>
          <w:sz w:val="28"/>
          <w:szCs w:val="28"/>
        </w:rPr>
        <w:t>实践，突出能力培养</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优化实践教学内容，构建以能力培养为主线、课内课外相结合的实践教学体系；全面推行实验室开放，加强对学生自主实验的指导，切实提高实验教学质量；制订实践教学质量评估标准，开展实践教学质量评估。组织开展大学生实践创新训练，提升大学生实践创新能力。组织学生参加国家、省级学科竞赛；提炼一些校级学科竞赛项目；倡导二级学院开展专业性强的学科竞赛。引导专业技能考证，推进应用型创新人才培养。</w:t>
      </w:r>
    </w:p>
    <w:p>
      <w:pPr>
        <w:spacing w:line="480" w:lineRule="exact"/>
        <w:ind w:firstLine="548" w:firstLineChars="196"/>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．优化结构，打造一流精品专业</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对接“工业</w:t>
      </w:r>
      <w:r>
        <w:rPr>
          <w:rFonts w:ascii="仿宋" w:hAnsi="仿宋" w:eastAsia="仿宋"/>
          <w:sz w:val="28"/>
          <w:szCs w:val="28"/>
        </w:rPr>
        <w:t>4.0</w:t>
      </w:r>
      <w:r>
        <w:rPr>
          <w:rFonts w:hint="eastAsia" w:ascii="仿宋" w:hAnsi="仿宋" w:eastAsia="仿宋"/>
          <w:sz w:val="28"/>
          <w:szCs w:val="28"/>
        </w:rPr>
        <w:t>、互联网</w:t>
      </w:r>
      <w:r>
        <w:rPr>
          <w:rFonts w:ascii="仿宋" w:hAnsi="仿宋" w:eastAsia="仿宋"/>
          <w:sz w:val="28"/>
          <w:szCs w:val="28"/>
        </w:rPr>
        <w:t>+</w:t>
      </w:r>
      <w:r>
        <w:rPr>
          <w:rFonts w:hint="eastAsia" w:ascii="仿宋" w:hAnsi="仿宋" w:eastAsia="仿宋"/>
          <w:sz w:val="28"/>
          <w:szCs w:val="28"/>
        </w:rPr>
        <w:t>、中国制造</w:t>
      </w:r>
      <w:r>
        <w:rPr>
          <w:rFonts w:ascii="仿宋" w:hAnsi="仿宋" w:eastAsia="仿宋"/>
          <w:sz w:val="28"/>
          <w:szCs w:val="28"/>
        </w:rPr>
        <w:t>2025</w:t>
      </w:r>
      <w:r>
        <w:rPr>
          <w:rFonts w:hint="eastAsia" w:ascii="仿宋" w:hAnsi="仿宋" w:eastAsia="仿宋"/>
          <w:sz w:val="28"/>
          <w:szCs w:val="28"/>
        </w:rPr>
        <w:t>”等产业链，加快与区域行业企业对接，按照培养应用型人才的要求，根据临港产业发展规划以及上海市“九宫格”高校分类管理要求，在学校现有本科专业基础上，充分发挥学科引领作用，通过“调结构优化存量，促发展保持增量”，形成结构科学、内涵丰富，布局合理、特色鲜明、优势明显的专业建设新格局。十三五期间，学校</w:t>
      </w:r>
      <w:r>
        <w:rPr>
          <w:rFonts w:ascii="仿宋" w:hAnsi="仿宋" w:eastAsia="仿宋"/>
          <w:sz w:val="28"/>
          <w:szCs w:val="28"/>
        </w:rPr>
        <w:t>将以新工科建设为契机</w:t>
      </w:r>
      <w:r>
        <w:rPr>
          <w:rFonts w:hint="eastAsia" w:ascii="仿宋" w:hAnsi="仿宋" w:eastAsia="仿宋"/>
          <w:sz w:val="28"/>
          <w:szCs w:val="28"/>
        </w:rPr>
        <w:t>，新建或优化工科专业</w:t>
      </w:r>
      <w:r>
        <w:rPr>
          <w:rFonts w:ascii="仿宋" w:hAnsi="仿宋" w:eastAsia="仿宋"/>
          <w:sz w:val="28"/>
          <w:szCs w:val="28"/>
        </w:rPr>
        <w:t>4-5</w:t>
      </w:r>
      <w:r>
        <w:rPr>
          <w:rFonts w:hint="eastAsia" w:ascii="仿宋" w:hAnsi="仿宋" w:eastAsia="仿宋"/>
          <w:sz w:val="28"/>
          <w:szCs w:val="28"/>
        </w:rPr>
        <w:t>个、经济类专业</w:t>
      </w:r>
      <w:r>
        <w:rPr>
          <w:rFonts w:ascii="仿宋" w:hAnsi="仿宋" w:eastAsia="仿宋"/>
          <w:sz w:val="28"/>
          <w:szCs w:val="28"/>
        </w:rPr>
        <w:t>2-3</w:t>
      </w:r>
      <w:r>
        <w:rPr>
          <w:rFonts w:hint="eastAsia" w:ascii="仿宋" w:hAnsi="仿宋" w:eastAsia="仿宋"/>
          <w:sz w:val="28"/>
          <w:szCs w:val="28"/>
        </w:rPr>
        <w:t>个、管理类或文学类专业</w:t>
      </w:r>
      <w:r>
        <w:rPr>
          <w:rFonts w:ascii="仿宋" w:hAnsi="仿宋" w:eastAsia="仿宋"/>
          <w:sz w:val="28"/>
          <w:szCs w:val="28"/>
        </w:rPr>
        <w:t>1-2</w:t>
      </w:r>
      <w:r>
        <w:rPr>
          <w:rFonts w:hint="eastAsia" w:ascii="仿宋" w:hAnsi="仿宋" w:eastAsia="仿宋"/>
          <w:sz w:val="28"/>
          <w:szCs w:val="28"/>
        </w:rPr>
        <w:t>个，艺术类专业</w:t>
      </w:r>
      <w:r>
        <w:rPr>
          <w:rFonts w:ascii="仿宋" w:hAnsi="仿宋" w:eastAsia="仿宋"/>
          <w:sz w:val="28"/>
          <w:szCs w:val="28"/>
        </w:rPr>
        <w:t>1-2</w:t>
      </w:r>
      <w:r>
        <w:rPr>
          <w:rFonts w:hint="eastAsia" w:ascii="仿宋" w:hAnsi="仿宋" w:eastAsia="仿宋"/>
          <w:sz w:val="28"/>
          <w:szCs w:val="28"/>
        </w:rPr>
        <w:t>、使学校学科专业总数达</w:t>
      </w:r>
      <w:r>
        <w:rPr>
          <w:rFonts w:ascii="仿宋" w:hAnsi="仿宋" w:eastAsia="仿宋"/>
          <w:sz w:val="28"/>
          <w:szCs w:val="28"/>
        </w:rPr>
        <w:t>35</w:t>
      </w:r>
      <w:r>
        <w:rPr>
          <w:rFonts w:hint="eastAsia" w:ascii="仿宋" w:hAnsi="仿宋" w:eastAsia="仿宋"/>
          <w:sz w:val="28"/>
          <w:szCs w:val="28"/>
        </w:rPr>
        <w:t>个以上。综合考虑专业现状及前景、专业实力及潜力两个维度，优先支持具备办学条件、符合学校发展定位、适应市场需求的新兴、交叉学科专业的申报与建设，满足社会、学生的需要。</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实施一流专业建设行动计划，推进一流本科建设。以“新工科”为引领，成立智能制造学院，开展</w:t>
      </w:r>
      <w:r>
        <w:rPr>
          <w:rFonts w:ascii="仿宋" w:hAnsi="仿宋" w:eastAsia="仿宋"/>
          <w:sz w:val="28"/>
          <w:szCs w:val="28"/>
        </w:rPr>
        <w:t>跨学科、跨专业交叉复合的一流本科教育</w:t>
      </w:r>
      <w:r>
        <w:rPr>
          <w:rFonts w:hint="eastAsia" w:ascii="仿宋" w:hAnsi="仿宋" w:eastAsia="仿宋"/>
          <w:sz w:val="28"/>
          <w:szCs w:val="28"/>
        </w:rPr>
        <w:t>。推进产教融合，顺应区域发展，构建国内领先、特色鲜明的“新工科”专业集群。力争在十三五期间，建设对接产业发展的特色专业点6个。</w:t>
      </w:r>
    </w:p>
    <w:p>
      <w:pPr>
        <w:spacing w:line="480" w:lineRule="exact"/>
        <w:ind w:firstLine="548" w:firstLineChars="196"/>
        <w:rPr>
          <w:rFonts w:ascii="仿宋" w:hAnsi="仿宋" w:eastAsia="仿宋"/>
          <w:sz w:val="28"/>
          <w:szCs w:val="28"/>
        </w:rPr>
      </w:pPr>
      <w:r>
        <w:rPr>
          <w:rFonts w:hint="eastAsia" w:ascii="仿宋" w:hAnsi="仿宋" w:eastAsia="仿宋"/>
          <w:sz w:val="28"/>
          <w:szCs w:val="28"/>
        </w:rPr>
        <w:t>4．双线复合</w:t>
      </w:r>
      <w:r>
        <w:rPr>
          <w:rFonts w:ascii="仿宋" w:hAnsi="仿宋" w:eastAsia="仿宋"/>
          <w:sz w:val="28"/>
          <w:szCs w:val="28"/>
        </w:rPr>
        <w:t>，</w:t>
      </w:r>
      <w:r>
        <w:rPr>
          <w:rFonts w:hint="eastAsia" w:ascii="仿宋" w:hAnsi="仿宋" w:eastAsia="仿宋"/>
          <w:sz w:val="28"/>
          <w:szCs w:val="28"/>
        </w:rPr>
        <w:t>打造特色品牌课程</w:t>
      </w:r>
    </w:p>
    <w:p>
      <w:pPr>
        <w:spacing w:line="480" w:lineRule="exact"/>
        <w:ind w:firstLine="660" w:firstLineChars="236"/>
        <w:rPr>
          <w:rFonts w:ascii="仿宋" w:hAnsi="仿宋" w:eastAsia="仿宋"/>
          <w:sz w:val="28"/>
          <w:szCs w:val="28"/>
        </w:rPr>
      </w:pPr>
      <w:r>
        <w:rPr>
          <w:rFonts w:hint="eastAsia" w:ascii="仿宋" w:hAnsi="仿宋" w:eastAsia="仿宋"/>
          <w:sz w:val="28"/>
          <w:szCs w:val="28"/>
        </w:rPr>
        <w:t>实施特色课程建设行动计划，打造特色品牌课程。构建学科知识体系和专业岗位能力体系“双线复合”的课程体系。强化课程实践，变革考核和评价方式，不断提高学生的学业挑战度和学习主动性。科学设置课程和教学环节，确保学生学习效果的达成度。各课程</w:t>
      </w:r>
      <w:r>
        <w:rPr>
          <w:rFonts w:ascii="仿宋" w:hAnsi="仿宋" w:eastAsia="仿宋"/>
          <w:sz w:val="28"/>
          <w:szCs w:val="28"/>
        </w:rPr>
        <w:t>根据培养目标、毕业要求完成每一门课程的二维矩阵表</w:t>
      </w:r>
      <w:r>
        <w:rPr>
          <w:vertAlign w:val="superscript"/>
        </w:rPr>
        <w:footnoteReference w:id="0"/>
      </w:r>
      <w:r>
        <w:rPr>
          <w:rFonts w:hint="eastAsia" w:ascii="仿宋" w:hAnsi="仿宋" w:eastAsia="仿宋"/>
          <w:sz w:val="28"/>
          <w:szCs w:val="28"/>
        </w:rPr>
        <w:t>，</w:t>
      </w:r>
      <w:r>
        <w:rPr>
          <w:rFonts w:ascii="仿宋" w:hAnsi="仿宋" w:eastAsia="仿宋"/>
          <w:sz w:val="28"/>
          <w:szCs w:val="28"/>
        </w:rPr>
        <w:t>同时将</w:t>
      </w:r>
      <w:r>
        <w:rPr>
          <w:rFonts w:hint="eastAsia" w:ascii="仿宋" w:hAnsi="仿宋" w:eastAsia="仿宋"/>
          <w:sz w:val="28"/>
          <w:szCs w:val="28"/>
        </w:rPr>
        <w:t>该</w:t>
      </w:r>
      <w:r>
        <w:rPr>
          <w:rFonts w:ascii="仿宋" w:hAnsi="仿宋" w:eastAsia="仿宋"/>
          <w:sz w:val="28"/>
          <w:szCs w:val="28"/>
        </w:rPr>
        <w:t>课程</w:t>
      </w:r>
      <w:r>
        <w:rPr>
          <w:rFonts w:hint="eastAsia" w:ascii="仿宋" w:hAnsi="仿宋" w:eastAsia="仿宋"/>
          <w:sz w:val="28"/>
          <w:szCs w:val="28"/>
        </w:rPr>
        <w:t>的</w:t>
      </w:r>
      <w:r>
        <w:rPr>
          <w:rFonts w:ascii="仿宋" w:hAnsi="仿宋" w:eastAsia="仿宋"/>
          <w:sz w:val="28"/>
          <w:szCs w:val="28"/>
        </w:rPr>
        <w:t>目的性作为课程评价</w:t>
      </w:r>
      <w:r>
        <w:rPr>
          <w:rFonts w:hint="eastAsia" w:ascii="仿宋" w:hAnsi="仿宋" w:eastAsia="仿宋"/>
          <w:sz w:val="28"/>
          <w:szCs w:val="28"/>
        </w:rPr>
        <w:t>的</w:t>
      </w:r>
      <w:r>
        <w:rPr>
          <w:rFonts w:ascii="仿宋" w:hAnsi="仿宋" w:eastAsia="仿宋"/>
          <w:sz w:val="28"/>
          <w:szCs w:val="28"/>
        </w:rPr>
        <w:t>重要依据（即目标达成度）。</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切实施行课程负责人制，课程负责人全面负责该课程的建设与教学管理，建立课程教学团队，推进课程建设“质量工程”，加强对现有课程建设项目的指导与管理，确保课程建设项目的建设质量，积极推进优质课程集群建设。</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持续推进教学模式、教学内容、教学方法与手段改革，稳步推进案例式教学、探究式教学和问题讨论式教学，鼓励试行行动导向式和任务驱动式教学模式改革；探索学校教师讲理论、企业教师讲实践的“嵌入式”课程教学模式，增强学生的知识应用能力。</w:t>
      </w:r>
    </w:p>
    <w:p>
      <w:pPr>
        <w:spacing w:line="480" w:lineRule="exact"/>
        <w:ind w:firstLine="548" w:firstLineChars="196"/>
        <w:rPr>
          <w:rFonts w:ascii="仿宋" w:hAnsi="仿宋" w:eastAsia="仿宋"/>
          <w:sz w:val="28"/>
          <w:szCs w:val="28"/>
        </w:rPr>
      </w:pPr>
      <w:r>
        <w:rPr>
          <w:rFonts w:hint="eastAsia" w:ascii="仿宋" w:hAnsi="仿宋" w:eastAsia="仿宋"/>
          <w:sz w:val="28"/>
          <w:szCs w:val="28"/>
        </w:rPr>
        <w:t>5．以评促建，提升教育教学质量</w:t>
      </w:r>
    </w:p>
    <w:p>
      <w:pPr>
        <w:spacing w:line="480" w:lineRule="exact"/>
        <w:ind w:firstLine="560" w:firstLineChars="200"/>
        <w:rPr>
          <w:rFonts w:ascii="仿宋" w:hAnsi="仿宋" w:eastAsia="仿宋"/>
          <w:color w:val="auto"/>
          <w:sz w:val="28"/>
          <w:szCs w:val="28"/>
        </w:rPr>
      </w:pPr>
      <w:r>
        <w:rPr>
          <w:rFonts w:hint="eastAsia" w:ascii="仿宋" w:hAnsi="仿宋" w:eastAsia="仿宋"/>
          <w:sz w:val="28"/>
          <w:szCs w:val="28"/>
        </w:rPr>
        <w:t>以迎接教育部本科教学审核评估为契机，全面落实专业定位。根据审核评估关注的“</w:t>
      </w:r>
      <w:r>
        <w:rPr>
          <w:rFonts w:ascii="仿宋" w:hAnsi="仿宋" w:eastAsia="仿宋"/>
          <w:sz w:val="28"/>
          <w:szCs w:val="28"/>
        </w:rPr>
        <w:t>五</w:t>
      </w:r>
      <w:r>
        <w:rPr>
          <w:rFonts w:hint="eastAsia" w:ascii="仿宋" w:hAnsi="仿宋" w:eastAsia="仿宋"/>
          <w:sz w:val="28"/>
          <w:szCs w:val="28"/>
        </w:rPr>
        <w:t>个度”（即人才培养目标与培养效果的达成度，学校办学定位和人才培养目标与社会需求的适应度，教师和教学资源对学校人才培养的保障度，教学质量保障体系的有效度，学生和用人单位的满意度），学校</w:t>
      </w:r>
      <w:r>
        <w:rPr>
          <w:rFonts w:hint="eastAsia" w:ascii="仿宋" w:hAnsi="仿宋" w:eastAsia="仿宋"/>
          <w:color w:val="auto"/>
          <w:sz w:val="28"/>
          <w:szCs w:val="28"/>
        </w:rPr>
        <w:t>将进一步梳理各专业培养目标、毕业要求及课程体系的匹配度和适应度，建立“用自己的尺子量自己”的本科教学评价体系。</w:t>
      </w:r>
      <w:r>
        <w:rPr>
          <w:rFonts w:ascii="仿宋" w:hAnsi="仿宋" w:eastAsia="仿宋"/>
          <w:color w:val="auto"/>
          <w:sz w:val="28"/>
          <w:szCs w:val="28"/>
        </w:rPr>
        <w:t xml:space="preserve"> </w:t>
      </w:r>
    </w:p>
    <w:p>
      <w:pPr>
        <w:spacing w:line="480" w:lineRule="exact"/>
        <w:ind w:firstLine="560" w:firstLineChars="200"/>
        <w:rPr>
          <w:rFonts w:ascii="仿宋" w:hAnsi="仿宋" w:eastAsia="仿宋"/>
          <w:color w:val="auto"/>
          <w:sz w:val="28"/>
          <w:szCs w:val="28"/>
        </w:rPr>
      </w:pPr>
      <w:r>
        <w:rPr>
          <w:rFonts w:hint="eastAsia" w:ascii="仿宋" w:hAnsi="仿宋" w:eastAsia="仿宋"/>
          <w:color w:val="auto"/>
          <w:sz w:val="28"/>
          <w:szCs w:val="28"/>
        </w:rPr>
        <w:t>实施教学质量保障行动计划，进一步提升教学质量。全面开展专业自主评估，积极推进工程教育专业认证，引导专业建设健康发展；持续完善与一流人才培养相适应的教学质量保障体系，完善数据分析，建立“质量信息收集——分析诊断——反馈改进”的质量管理闭环系统，提升质保体系功效。</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6</w:t>
      </w:r>
      <w:r>
        <w:rPr>
          <w:rFonts w:ascii="仿宋" w:hAnsi="仿宋" w:eastAsia="仿宋"/>
          <w:sz w:val="28"/>
          <w:szCs w:val="28"/>
        </w:rPr>
        <w:t>.制定政策</w:t>
      </w:r>
      <w:r>
        <w:rPr>
          <w:rFonts w:hint="eastAsia" w:ascii="仿宋" w:hAnsi="仿宋" w:eastAsia="仿宋"/>
          <w:sz w:val="28"/>
          <w:szCs w:val="28"/>
        </w:rPr>
        <w:t>，</w:t>
      </w:r>
      <w:r>
        <w:rPr>
          <w:rFonts w:ascii="仿宋" w:hAnsi="仿宋" w:eastAsia="仿宋"/>
          <w:sz w:val="28"/>
          <w:szCs w:val="28"/>
        </w:rPr>
        <w:t>激励教师教书育人</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贯彻落实《上海电机学院全面提高本科教育质量的实施意见》，设置“教学团队负责人”、“专业负责人”等岗位，建设各类各级教学团队，充分发挥教授、骨干教师作用，进一步完善教学的考核与激励制度，将教师教学能力作为岗位定级考核，职称晋升的必要条件，倡导教师研究教学，用心教学，用优良的教风引导学风。</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7.完善机制，加强创新创业教育</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 xml:space="preserve">全面推进创新创业教育，加强与行业企业合作，建立协同育人机制，建立较为丰富的创新创业课程菜单，把创新创业教育融入课程教学并贯穿人才培养的全过程。构建全方位、多层次创新创业教育体系，探索学生创新创业活动与课程学分置换机制。鼓励教师将科研成果融入教学内容。加大对学生创新创业的激励和支持力度。 </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8.拓展资源，推进国际化战略</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持续推进与国外合作学校的专业建设和课程建设，持续推进教师、学生的海外学习工程，积极做好中外合作办学机构的申报与建设工作。进一步优化推进学校国际化战略的工作机制与保障体制，建立有利于二级学院国际化办学能动性的良性机制，建立二级学院师生与国外合作学校教师、学生的互动机制，积极引进外籍教师来校授课、引进国外优质课程资源，提升学生国际合作与交流能力，具体内容详见《上海电机学院国际交流与合作“十三五”规划（2016-2020）》。</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9.面向社会，提升招生就业质量</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积极参与上海招生考试制度的改革，进一步完善学校自主招生机制，招收符合学校定位的优秀生源。持续扩大学校办学的影响力，加大宣传力度，加强与外省市招办的合作，制定提高生源质量的激励机制，吸引外省市优质生源。进一步加强对各专业招生状态的数据分析，研究制定专业生源的变化趋势，为学校实施大类招生、专业招生奠定基础。在保持毕业生高就业率的同时，要更加关注毕业生的就业质量，关注毕业生的自我满足度、关注校友对学校的评价、对专业的评价，切实提高学校综合竞争力。</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10．夯实基础，提高教学管理水平</w:t>
      </w:r>
    </w:p>
    <w:p>
      <w:pPr>
        <w:spacing w:line="480" w:lineRule="exact"/>
        <w:ind w:firstLine="560" w:firstLineChars="200"/>
        <w:rPr>
          <w:rFonts w:hint="eastAsia" w:ascii="仿宋" w:hAnsi="仿宋" w:eastAsia="仿宋"/>
          <w:sz w:val="28"/>
          <w:szCs w:val="28"/>
        </w:rPr>
      </w:pPr>
      <w:r>
        <w:rPr>
          <w:rFonts w:hint="eastAsia" w:ascii="仿宋" w:hAnsi="仿宋" w:eastAsia="仿宋"/>
          <w:sz w:val="28"/>
          <w:szCs w:val="28"/>
        </w:rPr>
        <w:t>继续推进学分制改革，完善分类分级分流培养、分层教学机制，创造条件实行弹性学制，为学生提供更加多样化、个性化的服务。加强顶层设计，教学管理重心下移，赋予二级</w:t>
      </w:r>
      <w:r>
        <w:rPr>
          <w:rFonts w:ascii="仿宋" w:hAnsi="仿宋" w:eastAsia="仿宋"/>
          <w:sz w:val="28"/>
          <w:szCs w:val="28"/>
        </w:rPr>
        <w:t>学院</w:t>
      </w:r>
      <w:r>
        <w:rPr>
          <w:rFonts w:hint="eastAsia" w:ascii="仿宋" w:hAnsi="仿宋" w:eastAsia="仿宋"/>
          <w:sz w:val="28"/>
          <w:szCs w:val="28"/>
        </w:rPr>
        <w:t>更多的教学自主权。优化完善学校教务管理系统，实施日常教学管理信息化，提高教学信息化管理水平。加大教学管理队伍建设，配齐配全二级学院教学管理队伍，制定教学管理人员的培训机制，加大教学管理人员培训力度，全面提高学校教学管理能效。</w:t>
      </w:r>
    </w:p>
    <w:p>
      <w:pPr>
        <w:spacing w:line="480" w:lineRule="exact"/>
        <w:ind w:firstLine="560" w:firstLineChars="200"/>
        <w:rPr>
          <w:rFonts w:hint="eastAsia" w:ascii="仿宋" w:hAnsi="仿宋" w:eastAsia="仿宋"/>
          <w:sz w:val="28"/>
          <w:szCs w:val="28"/>
        </w:rPr>
      </w:pPr>
    </w:p>
    <w:p>
      <w:pPr>
        <w:spacing w:line="480" w:lineRule="exact"/>
        <w:ind w:firstLine="560" w:firstLineChars="200"/>
        <w:rPr>
          <w:rFonts w:ascii="黑体" w:eastAsia="黑体"/>
          <w:sz w:val="28"/>
          <w:szCs w:val="28"/>
        </w:rPr>
      </w:pPr>
      <w:r>
        <w:rPr>
          <w:rFonts w:hint="eastAsia" w:ascii="黑体" w:eastAsia="黑体"/>
          <w:sz w:val="28"/>
          <w:szCs w:val="28"/>
        </w:rPr>
        <w:t>四、规划实施与保障</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学校人才培养“十三五”规划是学校进一步明确教学中心地位、实现学校内涵式发展的重要依据。规划的有效实施有助于全校师生同心协力、群策群力共同推进学校教学改革，提高学校人才培养质量。规划的实施需要学校科学配置资源、加大教学投入、加强统筹协调、强化各部门（各二级学院）主体责任，切实做到有据可循、有规可依。</w:t>
      </w:r>
    </w:p>
    <w:p>
      <w:pPr>
        <w:spacing w:line="480" w:lineRule="exact"/>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．注重规划任务落实，加强评估考核</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强化对本规划确定的目标任务完成情况的综合评价考核，做到“决策部署以规划为依据，工作目标以规划为指南，考核工作以规划实施效果为主要标准”，切实发挥规划的引领性，维护规划的权威性。本规划确定的任务指标是学校教学工作年度考核的任务指标，规划的各项任务指标要落实到各二级教学单位，学校要创造条件确保规划指标的顺利完成。</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2．科学配置资源，加大教学投入</w:t>
      </w:r>
    </w:p>
    <w:p>
      <w:pPr>
        <w:spacing w:line="480" w:lineRule="exact"/>
        <w:ind w:firstLine="560" w:firstLineChars="200"/>
        <w:rPr>
          <w:rFonts w:hint="eastAsia" w:ascii="仿宋" w:hAnsi="仿宋" w:eastAsia="仿宋"/>
          <w:sz w:val="28"/>
          <w:szCs w:val="28"/>
        </w:rPr>
      </w:pPr>
      <w:r>
        <w:rPr>
          <w:rFonts w:hint="eastAsia" w:ascii="仿宋" w:hAnsi="仿宋" w:eastAsia="仿宋"/>
          <w:sz w:val="28"/>
          <w:szCs w:val="28"/>
        </w:rPr>
        <w:t>“十三五”期间，学校要加大教学投入。学校各专业还处于“爬坡”阶段，各专业、特别是新专业的实验室基础条件还不够完善，学校教学场所还比较紧缺，课程资源也不够丰富，学生创新创业平台还处于起步阶段，国外同类一流专业的优质教学资源的引进与学习以及学校内涵式发展都需要学校持续加大投入，确保规划的顺利实施。</w:t>
      </w:r>
    </w:p>
    <w:p>
      <w:pPr>
        <w:spacing w:line="480" w:lineRule="exact"/>
        <w:ind w:firstLine="560" w:firstLineChars="200"/>
        <w:rPr>
          <w:rFonts w:hint="eastAsia" w:ascii="仿宋" w:hAnsi="仿宋" w:eastAsia="仿宋"/>
          <w:sz w:val="28"/>
          <w:szCs w:val="28"/>
        </w:rPr>
      </w:pPr>
    </w:p>
    <w:p>
      <w:pPr>
        <w:spacing w:line="480" w:lineRule="exact"/>
        <w:ind w:firstLine="560" w:firstLineChars="200"/>
        <w:rPr>
          <w:rFonts w:ascii="黑体" w:eastAsia="黑体"/>
          <w:sz w:val="28"/>
          <w:szCs w:val="28"/>
        </w:rPr>
      </w:pPr>
      <w:r>
        <w:rPr>
          <w:rFonts w:hint="eastAsia" w:ascii="黑体" w:eastAsia="黑体"/>
          <w:sz w:val="28"/>
          <w:szCs w:val="28"/>
        </w:rPr>
        <w:t>五、分年度实施方案与所需经费支持</w:t>
      </w:r>
    </w:p>
    <w:p>
      <w:pPr>
        <w:spacing w:line="480" w:lineRule="exact"/>
        <w:ind w:firstLine="560" w:firstLineChars="200"/>
        <w:jc w:val="center"/>
        <w:rPr>
          <w:rFonts w:hint="eastAsia" w:ascii="仿宋" w:hAnsi="仿宋" w:eastAsia="仿宋"/>
          <w:sz w:val="28"/>
          <w:szCs w:val="28"/>
        </w:rPr>
      </w:pPr>
    </w:p>
    <w:p>
      <w:pPr>
        <w:spacing w:line="480" w:lineRule="exact"/>
        <w:ind w:firstLine="560" w:firstLineChars="200"/>
        <w:jc w:val="center"/>
        <w:rPr>
          <w:rFonts w:hint="eastAsia" w:ascii="仿宋" w:hAnsi="仿宋" w:eastAsia="仿宋"/>
          <w:sz w:val="28"/>
          <w:szCs w:val="28"/>
        </w:rPr>
      </w:pPr>
    </w:p>
    <w:p>
      <w:pPr>
        <w:spacing w:line="480" w:lineRule="exact"/>
        <w:ind w:firstLine="562" w:firstLineChars="200"/>
        <w:jc w:val="center"/>
        <w:rPr>
          <w:rFonts w:ascii="仿宋" w:hAnsi="仿宋" w:eastAsia="仿宋"/>
          <w:b/>
          <w:bCs/>
          <w:sz w:val="28"/>
          <w:szCs w:val="28"/>
        </w:rPr>
      </w:pPr>
      <w:bookmarkStart w:id="1" w:name="_GoBack"/>
      <w:r>
        <w:rPr>
          <w:rFonts w:hint="eastAsia" w:ascii="仿宋" w:hAnsi="仿宋" w:eastAsia="仿宋"/>
          <w:b/>
          <w:bCs/>
          <w:sz w:val="28"/>
          <w:szCs w:val="28"/>
        </w:rPr>
        <w:t>表1  分年度实施指标数据表</w:t>
      </w:r>
    </w:p>
    <w:bookmarkEnd w:id="1"/>
    <w:tbl>
      <w:tblPr>
        <w:tblStyle w:val="8"/>
        <w:tblpPr w:leftFromText="180" w:rightFromText="180" w:vertAnchor="text" w:tblpXSpec="center" w:tblpY="1"/>
        <w:tblOverlap w:val="never"/>
        <w:tblW w:w="946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47"/>
        <w:gridCol w:w="1134"/>
        <w:gridCol w:w="1134"/>
        <w:gridCol w:w="1105"/>
        <w:gridCol w:w="1134"/>
        <w:gridCol w:w="1134"/>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547" w:type="dxa"/>
            <w:tcBorders>
              <w:top w:val="single" w:color="000000" w:sz="4" w:space="0"/>
              <w:left w:val="single" w:color="000000" w:sz="4" w:space="0"/>
              <w:bottom w:val="single" w:color="000000" w:sz="4" w:space="0"/>
              <w:right w:val="single" w:color="000000" w:sz="4" w:space="0"/>
            </w:tcBorders>
          </w:tcPr>
          <w:p>
            <w:pPr>
              <w:spacing w:line="480" w:lineRule="exact"/>
              <w:rPr>
                <w:rFonts w:ascii="仿宋" w:hAnsi="仿宋" w:eastAsia="仿宋"/>
                <w:sz w:val="28"/>
                <w:szCs w:val="2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 w:val="28"/>
                <w:szCs w:val="28"/>
              </w:rPr>
            </w:pPr>
            <w:r>
              <w:rPr>
                <w:rFonts w:ascii="仿宋" w:hAnsi="仿宋" w:eastAsia="仿宋"/>
                <w:sz w:val="28"/>
                <w:szCs w:val="28"/>
              </w:rPr>
              <w:t>2016</w:t>
            </w:r>
            <w:r>
              <w:rPr>
                <w:rFonts w:hint="eastAsia" w:ascii="仿宋" w:hAnsi="仿宋" w:eastAsia="仿宋"/>
                <w:sz w:val="28"/>
                <w:szCs w:val="28"/>
              </w:rPr>
              <w:t>年</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 w:val="28"/>
                <w:szCs w:val="28"/>
              </w:rPr>
            </w:pPr>
            <w:r>
              <w:rPr>
                <w:rFonts w:ascii="仿宋" w:hAnsi="仿宋" w:eastAsia="仿宋"/>
                <w:sz w:val="28"/>
                <w:szCs w:val="28"/>
              </w:rPr>
              <w:t>2017</w:t>
            </w:r>
            <w:r>
              <w:rPr>
                <w:rFonts w:hint="eastAsia" w:ascii="仿宋" w:hAnsi="仿宋" w:eastAsia="仿宋"/>
                <w:sz w:val="28"/>
                <w:szCs w:val="28"/>
              </w:rPr>
              <w:t>年</w:t>
            </w:r>
          </w:p>
        </w:tc>
        <w:tc>
          <w:tcPr>
            <w:tcW w:w="110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 w:val="28"/>
                <w:szCs w:val="28"/>
              </w:rPr>
            </w:pPr>
            <w:r>
              <w:rPr>
                <w:rFonts w:ascii="仿宋" w:hAnsi="仿宋" w:eastAsia="仿宋"/>
                <w:sz w:val="28"/>
                <w:szCs w:val="28"/>
              </w:rPr>
              <w:t>2018</w:t>
            </w:r>
            <w:r>
              <w:rPr>
                <w:rFonts w:hint="eastAsia" w:ascii="仿宋" w:hAnsi="仿宋" w:eastAsia="仿宋"/>
                <w:sz w:val="28"/>
                <w:szCs w:val="28"/>
              </w:rPr>
              <w:t>年</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 w:val="28"/>
                <w:szCs w:val="28"/>
              </w:rPr>
            </w:pPr>
            <w:r>
              <w:rPr>
                <w:rFonts w:ascii="仿宋" w:hAnsi="仿宋" w:eastAsia="仿宋"/>
                <w:sz w:val="28"/>
                <w:szCs w:val="28"/>
              </w:rPr>
              <w:t>2019</w:t>
            </w:r>
            <w:r>
              <w:rPr>
                <w:rFonts w:hint="eastAsia" w:ascii="仿宋" w:hAnsi="仿宋" w:eastAsia="仿宋"/>
                <w:sz w:val="28"/>
                <w:szCs w:val="28"/>
              </w:rPr>
              <w:t>年</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 w:val="28"/>
                <w:szCs w:val="28"/>
              </w:rPr>
            </w:pPr>
            <w:r>
              <w:rPr>
                <w:rFonts w:ascii="仿宋" w:hAnsi="仿宋" w:eastAsia="仿宋"/>
                <w:sz w:val="28"/>
                <w:szCs w:val="28"/>
              </w:rPr>
              <w:t>2020</w:t>
            </w:r>
            <w:r>
              <w:rPr>
                <w:rFonts w:hint="eastAsia" w:ascii="仿宋" w:hAnsi="仿宋" w:eastAsia="仿宋"/>
                <w:sz w:val="28"/>
                <w:szCs w:val="28"/>
              </w:rPr>
              <w:t>年</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 w:val="28"/>
                <w:szCs w:val="28"/>
              </w:rPr>
            </w:pPr>
            <w:r>
              <w:rPr>
                <w:rFonts w:hint="eastAsia" w:ascii="仿宋" w:hAnsi="仿宋" w:eastAsia="仿宋"/>
                <w:sz w:val="28"/>
                <w:szCs w:val="28"/>
              </w:rPr>
              <w:t>到2020年</w:t>
            </w:r>
            <w:r>
              <w:rPr>
                <w:rFonts w:ascii="仿宋" w:hAnsi="仿宋" w:eastAsia="仿宋"/>
                <w:sz w:val="28"/>
                <w:szCs w:val="28"/>
              </w:rPr>
              <w:t>全校总数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547" w:type="dxa"/>
            <w:tcBorders>
              <w:top w:val="single" w:color="000000" w:sz="4" w:space="0"/>
              <w:left w:val="single" w:color="000000" w:sz="4" w:space="0"/>
              <w:bottom w:val="single" w:color="000000" w:sz="4" w:space="0"/>
              <w:right w:val="single" w:color="000000" w:sz="4" w:space="0"/>
            </w:tcBorders>
          </w:tcPr>
          <w:p>
            <w:pPr>
              <w:spacing w:line="480" w:lineRule="exact"/>
              <w:rPr>
                <w:rFonts w:ascii="仿宋" w:hAnsi="仿宋" w:eastAsia="仿宋"/>
                <w:sz w:val="28"/>
                <w:szCs w:val="28"/>
              </w:rPr>
            </w:pPr>
            <w:r>
              <w:rPr>
                <w:rFonts w:hint="eastAsia" w:ascii="仿宋" w:hAnsi="仿宋" w:eastAsia="仿宋"/>
                <w:sz w:val="28"/>
                <w:szCs w:val="28"/>
              </w:rPr>
              <w:t>本科专业数（</w:t>
            </w:r>
            <w:r>
              <w:rPr>
                <w:rFonts w:ascii="仿宋" w:hAnsi="仿宋" w:eastAsia="仿宋"/>
                <w:sz w:val="28"/>
                <w:szCs w:val="28"/>
              </w:rPr>
              <w:t>累计）</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 w:val="28"/>
                <w:szCs w:val="28"/>
              </w:rPr>
            </w:pPr>
            <w:r>
              <w:rPr>
                <w:rFonts w:ascii="仿宋" w:hAnsi="仿宋" w:eastAsia="仿宋"/>
                <w:sz w:val="28"/>
                <w:szCs w:val="28"/>
              </w:rPr>
              <w:t>31</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 w:val="28"/>
                <w:szCs w:val="28"/>
              </w:rPr>
            </w:pPr>
            <w:r>
              <w:rPr>
                <w:rFonts w:ascii="仿宋" w:hAnsi="仿宋" w:eastAsia="仿宋"/>
                <w:sz w:val="28"/>
                <w:szCs w:val="28"/>
              </w:rPr>
              <w:t>32</w:t>
            </w:r>
          </w:p>
        </w:tc>
        <w:tc>
          <w:tcPr>
            <w:tcW w:w="110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 w:val="28"/>
                <w:szCs w:val="28"/>
              </w:rPr>
            </w:pPr>
            <w:r>
              <w:rPr>
                <w:rFonts w:ascii="仿宋" w:hAnsi="仿宋" w:eastAsia="仿宋"/>
                <w:sz w:val="28"/>
                <w:szCs w:val="28"/>
              </w:rPr>
              <w:t>33</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 w:val="28"/>
                <w:szCs w:val="28"/>
              </w:rPr>
            </w:pPr>
            <w:r>
              <w:rPr>
                <w:rFonts w:ascii="仿宋" w:hAnsi="仿宋" w:eastAsia="仿宋"/>
                <w:sz w:val="28"/>
                <w:szCs w:val="28"/>
              </w:rPr>
              <w:t>34</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 w:val="28"/>
                <w:szCs w:val="28"/>
              </w:rPr>
            </w:pPr>
            <w:r>
              <w:rPr>
                <w:rFonts w:ascii="仿宋" w:hAnsi="仿宋" w:eastAsia="仿宋"/>
                <w:sz w:val="28"/>
                <w:szCs w:val="28"/>
              </w:rPr>
              <w:t>35</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 w:val="28"/>
                <w:szCs w:val="28"/>
              </w:rPr>
            </w:pPr>
            <w:r>
              <w:rPr>
                <w:rFonts w:hint="eastAsia" w:ascii="仿宋" w:hAnsi="仿宋" w:eastAsia="仿宋"/>
                <w:sz w:val="28"/>
                <w:szCs w:val="28"/>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547" w:type="dxa"/>
            <w:tcBorders>
              <w:top w:val="single" w:color="000000" w:sz="4" w:space="0"/>
              <w:left w:val="single" w:color="000000" w:sz="4" w:space="0"/>
              <w:bottom w:val="single" w:color="000000" w:sz="4" w:space="0"/>
              <w:right w:val="single" w:color="000000" w:sz="4" w:space="0"/>
            </w:tcBorders>
          </w:tcPr>
          <w:p>
            <w:pPr>
              <w:spacing w:line="480" w:lineRule="exact"/>
              <w:rPr>
                <w:rFonts w:ascii="仿宋" w:hAnsi="仿宋" w:eastAsia="仿宋"/>
                <w:sz w:val="28"/>
                <w:szCs w:val="28"/>
              </w:rPr>
            </w:pPr>
            <w:r>
              <w:rPr>
                <w:rFonts w:hint="eastAsia" w:ascii="仿宋" w:hAnsi="仿宋" w:eastAsia="仿宋"/>
                <w:sz w:val="28"/>
                <w:szCs w:val="28"/>
              </w:rPr>
              <w:t>校级全英语专业数（累计）</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 w:val="28"/>
                <w:szCs w:val="28"/>
              </w:rPr>
            </w:pPr>
            <w:r>
              <w:rPr>
                <w:rFonts w:hint="eastAsia" w:ascii="仿宋" w:hAnsi="仿宋" w:eastAsia="仿宋"/>
                <w:sz w:val="28"/>
                <w:szCs w:val="28"/>
              </w:rPr>
              <w:t>3</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 w:val="28"/>
                <w:szCs w:val="28"/>
              </w:rPr>
            </w:pPr>
            <w:r>
              <w:rPr>
                <w:rFonts w:hint="eastAsia" w:ascii="仿宋" w:hAnsi="仿宋" w:eastAsia="仿宋"/>
                <w:sz w:val="28"/>
                <w:szCs w:val="28"/>
              </w:rPr>
              <w:t>0</w:t>
            </w:r>
          </w:p>
        </w:tc>
        <w:tc>
          <w:tcPr>
            <w:tcW w:w="110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 w:val="28"/>
                <w:szCs w:val="28"/>
              </w:rPr>
            </w:pPr>
            <w:r>
              <w:rPr>
                <w:rFonts w:hint="eastAsia" w:ascii="仿宋" w:hAnsi="仿宋" w:eastAsia="仿宋"/>
                <w:sz w:val="28"/>
                <w:szCs w:val="28"/>
              </w:rPr>
              <w:t>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 w:val="28"/>
                <w:szCs w:val="28"/>
              </w:rPr>
            </w:pPr>
            <w:r>
              <w:rPr>
                <w:rFonts w:hint="eastAsia" w:ascii="仿宋" w:hAnsi="仿宋" w:eastAsia="仿宋"/>
                <w:sz w:val="28"/>
                <w:szCs w:val="28"/>
              </w:rPr>
              <w:t>4</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 w:val="28"/>
                <w:szCs w:val="28"/>
              </w:rPr>
            </w:pPr>
            <w:r>
              <w:rPr>
                <w:rFonts w:hint="eastAsia" w:ascii="仿宋" w:hAnsi="仿宋" w:eastAsia="仿宋"/>
                <w:sz w:val="28"/>
                <w:szCs w:val="28"/>
              </w:rPr>
              <w:t>0</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 w:val="28"/>
                <w:szCs w:val="28"/>
              </w:rPr>
            </w:pPr>
            <w:r>
              <w:rPr>
                <w:rFonts w:hint="eastAsia" w:ascii="仿宋" w:hAnsi="仿宋" w:eastAsia="仿宋"/>
                <w:sz w:val="28"/>
                <w:szCs w:val="2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547" w:type="dxa"/>
            <w:tcBorders>
              <w:top w:val="single" w:color="000000" w:sz="4" w:space="0"/>
              <w:left w:val="single" w:color="000000" w:sz="4" w:space="0"/>
              <w:bottom w:val="single" w:color="000000" w:sz="4" w:space="0"/>
              <w:right w:val="single" w:color="000000" w:sz="4" w:space="0"/>
            </w:tcBorders>
          </w:tcPr>
          <w:p>
            <w:pPr>
              <w:spacing w:line="480" w:lineRule="exact"/>
              <w:rPr>
                <w:rFonts w:ascii="仿宋" w:hAnsi="仿宋" w:eastAsia="仿宋"/>
                <w:sz w:val="28"/>
                <w:szCs w:val="28"/>
              </w:rPr>
            </w:pPr>
            <w:r>
              <w:rPr>
                <w:rFonts w:hint="eastAsia" w:ascii="仿宋" w:hAnsi="仿宋" w:eastAsia="仿宋"/>
                <w:sz w:val="28"/>
                <w:szCs w:val="28"/>
              </w:rPr>
              <w:t>申请参加专业认证</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 w:val="28"/>
                <w:szCs w:val="28"/>
              </w:rPr>
            </w:pPr>
            <w:r>
              <w:rPr>
                <w:rFonts w:ascii="仿宋" w:hAnsi="仿宋" w:eastAsia="仿宋"/>
                <w:sz w:val="28"/>
                <w:szCs w:val="28"/>
              </w:rPr>
              <w:t>1</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 w:val="28"/>
                <w:szCs w:val="28"/>
              </w:rPr>
            </w:pPr>
            <w:r>
              <w:rPr>
                <w:rFonts w:ascii="仿宋" w:hAnsi="仿宋" w:eastAsia="仿宋"/>
                <w:sz w:val="28"/>
                <w:szCs w:val="28"/>
              </w:rPr>
              <w:t>2</w:t>
            </w:r>
          </w:p>
        </w:tc>
        <w:tc>
          <w:tcPr>
            <w:tcW w:w="110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 w:val="28"/>
                <w:szCs w:val="28"/>
              </w:rPr>
            </w:pPr>
            <w:r>
              <w:rPr>
                <w:rFonts w:ascii="仿宋" w:hAnsi="仿宋" w:eastAsia="仿宋"/>
                <w:sz w:val="28"/>
                <w:szCs w:val="28"/>
              </w:rPr>
              <w:t>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 w:val="28"/>
                <w:szCs w:val="28"/>
              </w:rPr>
            </w:pPr>
            <w:r>
              <w:rPr>
                <w:rFonts w:ascii="仿宋" w:hAnsi="仿宋" w:eastAsia="仿宋"/>
                <w:sz w:val="28"/>
                <w:szCs w:val="28"/>
              </w:rPr>
              <w:t>3</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 w:val="28"/>
                <w:szCs w:val="28"/>
              </w:rPr>
            </w:pPr>
            <w:r>
              <w:rPr>
                <w:rFonts w:ascii="仿宋" w:hAnsi="仿宋" w:eastAsia="仿宋"/>
                <w:sz w:val="28"/>
                <w:szCs w:val="28"/>
              </w:rPr>
              <w:t>2</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 w:val="28"/>
                <w:szCs w:val="28"/>
              </w:rPr>
            </w:pPr>
            <w:r>
              <w:rPr>
                <w:rFonts w:hint="eastAsia" w:ascii="仿宋" w:hAnsi="仿宋" w:eastAsia="仿宋"/>
                <w:sz w:val="28"/>
                <w:szCs w:val="28"/>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547" w:type="dxa"/>
            <w:tcBorders>
              <w:top w:val="single" w:color="000000" w:sz="4" w:space="0"/>
              <w:left w:val="single" w:color="000000" w:sz="4" w:space="0"/>
              <w:bottom w:val="single" w:color="000000" w:sz="4" w:space="0"/>
              <w:right w:val="single" w:color="000000" w:sz="4" w:space="0"/>
            </w:tcBorders>
          </w:tcPr>
          <w:p>
            <w:pPr>
              <w:spacing w:line="480" w:lineRule="exact"/>
              <w:rPr>
                <w:rFonts w:ascii="仿宋" w:hAnsi="仿宋" w:eastAsia="仿宋"/>
                <w:sz w:val="28"/>
                <w:szCs w:val="28"/>
              </w:rPr>
            </w:pPr>
            <w:r>
              <w:rPr>
                <w:rFonts w:hint="eastAsia" w:ascii="仿宋" w:hAnsi="仿宋" w:eastAsia="仿宋"/>
                <w:sz w:val="28"/>
                <w:szCs w:val="28"/>
              </w:rPr>
              <w:t>市级特色课程</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 w:val="28"/>
                <w:szCs w:val="28"/>
              </w:rPr>
            </w:pPr>
            <w:r>
              <w:rPr>
                <w:rFonts w:ascii="仿宋" w:hAnsi="仿宋" w:eastAsia="仿宋"/>
                <w:sz w:val="28"/>
                <w:szCs w:val="28"/>
              </w:rPr>
              <w:t>3</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 w:val="28"/>
                <w:szCs w:val="28"/>
              </w:rPr>
            </w:pPr>
            <w:r>
              <w:rPr>
                <w:rFonts w:ascii="仿宋" w:hAnsi="仿宋" w:eastAsia="仿宋"/>
                <w:sz w:val="28"/>
                <w:szCs w:val="28"/>
              </w:rPr>
              <w:t>4</w:t>
            </w:r>
          </w:p>
        </w:tc>
        <w:tc>
          <w:tcPr>
            <w:tcW w:w="110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 w:val="28"/>
                <w:szCs w:val="28"/>
              </w:rPr>
            </w:pPr>
            <w:r>
              <w:rPr>
                <w:rFonts w:ascii="仿宋" w:hAnsi="仿宋" w:eastAsia="仿宋"/>
                <w:sz w:val="28"/>
                <w:szCs w:val="28"/>
              </w:rPr>
              <w:t>5</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 w:val="28"/>
                <w:szCs w:val="28"/>
              </w:rPr>
            </w:pPr>
            <w:r>
              <w:rPr>
                <w:rFonts w:ascii="仿宋" w:hAnsi="仿宋" w:eastAsia="仿宋"/>
                <w:sz w:val="28"/>
                <w:szCs w:val="28"/>
              </w:rPr>
              <w:t>8</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 w:val="28"/>
                <w:szCs w:val="28"/>
              </w:rPr>
            </w:pPr>
            <w:r>
              <w:rPr>
                <w:rFonts w:ascii="仿宋" w:hAnsi="仿宋" w:eastAsia="仿宋"/>
                <w:sz w:val="28"/>
                <w:szCs w:val="28"/>
              </w:rPr>
              <w:t>10</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 w:val="28"/>
                <w:szCs w:val="28"/>
              </w:rPr>
            </w:pPr>
            <w:r>
              <w:rPr>
                <w:rFonts w:hint="eastAsia" w:ascii="仿宋" w:hAnsi="仿宋" w:eastAsia="仿宋"/>
                <w:sz w:val="28"/>
                <w:szCs w:val="28"/>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547" w:type="dxa"/>
            <w:tcBorders>
              <w:top w:val="single" w:color="000000" w:sz="4" w:space="0"/>
              <w:left w:val="single" w:color="000000" w:sz="4" w:space="0"/>
              <w:bottom w:val="single" w:color="000000" w:sz="4" w:space="0"/>
              <w:right w:val="single" w:color="000000" w:sz="4" w:space="0"/>
            </w:tcBorders>
          </w:tcPr>
          <w:p>
            <w:pPr>
              <w:spacing w:line="480" w:lineRule="exact"/>
              <w:rPr>
                <w:rFonts w:ascii="仿宋" w:hAnsi="仿宋" w:eastAsia="仿宋"/>
                <w:sz w:val="28"/>
                <w:szCs w:val="28"/>
              </w:rPr>
            </w:pPr>
            <w:r>
              <w:rPr>
                <w:rFonts w:hint="eastAsia" w:ascii="仿宋" w:hAnsi="仿宋" w:eastAsia="仿宋"/>
                <w:sz w:val="28"/>
                <w:szCs w:val="28"/>
              </w:rPr>
              <w:t>教育部规划教材</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 w:val="28"/>
                <w:szCs w:val="28"/>
              </w:rPr>
            </w:pPr>
            <w:r>
              <w:rPr>
                <w:rFonts w:hint="eastAsia" w:ascii="仿宋" w:hAnsi="仿宋" w:eastAsia="仿宋"/>
                <w:sz w:val="28"/>
                <w:szCs w:val="28"/>
              </w:rPr>
              <w:t>-</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 w:val="28"/>
                <w:szCs w:val="28"/>
              </w:rPr>
            </w:pPr>
            <w:r>
              <w:rPr>
                <w:rFonts w:hint="eastAsia" w:ascii="仿宋" w:hAnsi="仿宋" w:eastAsia="仿宋"/>
                <w:sz w:val="28"/>
                <w:szCs w:val="28"/>
              </w:rPr>
              <w:t>-</w:t>
            </w:r>
          </w:p>
        </w:tc>
        <w:tc>
          <w:tcPr>
            <w:tcW w:w="110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 w:val="28"/>
                <w:szCs w:val="28"/>
              </w:rPr>
            </w:pPr>
            <w:r>
              <w:rPr>
                <w:rFonts w:ascii="仿宋" w:hAnsi="仿宋" w:eastAsia="仿宋"/>
                <w:sz w:val="28"/>
                <w:szCs w:val="28"/>
              </w:rPr>
              <w:t>1</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 w:val="28"/>
                <w:szCs w:val="28"/>
              </w:rPr>
            </w:pPr>
            <w:r>
              <w:rPr>
                <w:rFonts w:ascii="仿宋" w:hAnsi="仿宋" w:eastAsia="仿宋"/>
                <w:sz w:val="28"/>
                <w:szCs w:val="28"/>
              </w:rPr>
              <w:t>2</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 w:val="28"/>
                <w:szCs w:val="28"/>
              </w:rPr>
            </w:pPr>
            <w:r>
              <w:rPr>
                <w:rFonts w:ascii="仿宋" w:hAnsi="仿宋" w:eastAsia="仿宋"/>
                <w:sz w:val="28"/>
                <w:szCs w:val="28"/>
              </w:rPr>
              <w:t>2</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 w:val="28"/>
                <w:szCs w:val="28"/>
              </w:rPr>
            </w:pPr>
            <w:r>
              <w:rPr>
                <w:rFonts w:hint="eastAsia" w:ascii="仿宋" w:hAnsi="仿宋" w:eastAsia="仿宋"/>
                <w:sz w:val="28"/>
                <w:szCs w:val="2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547" w:type="dxa"/>
            <w:tcBorders>
              <w:top w:val="single" w:color="000000" w:sz="4" w:space="0"/>
              <w:left w:val="single" w:color="000000" w:sz="4" w:space="0"/>
              <w:bottom w:val="single" w:color="000000" w:sz="4" w:space="0"/>
              <w:right w:val="single" w:color="000000" w:sz="4" w:space="0"/>
            </w:tcBorders>
          </w:tcPr>
          <w:p>
            <w:pPr>
              <w:spacing w:line="480" w:lineRule="exact"/>
              <w:rPr>
                <w:rFonts w:ascii="仿宋" w:hAnsi="仿宋" w:eastAsia="仿宋"/>
                <w:sz w:val="28"/>
                <w:szCs w:val="28"/>
              </w:rPr>
            </w:pPr>
            <w:r>
              <w:rPr>
                <w:rFonts w:hint="eastAsia" w:ascii="仿宋" w:hAnsi="仿宋" w:eastAsia="仿宋"/>
                <w:sz w:val="28"/>
                <w:szCs w:val="28"/>
              </w:rPr>
              <w:t>实验示范教学中心</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 w:val="28"/>
                <w:szCs w:val="28"/>
              </w:rPr>
            </w:pPr>
            <w:r>
              <w:rPr>
                <w:rFonts w:hint="eastAsia" w:ascii="仿宋" w:hAnsi="仿宋" w:eastAsia="仿宋"/>
                <w:sz w:val="28"/>
                <w:szCs w:val="28"/>
              </w:rPr>
              <w:t>-</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 w:val="28"/>
                <w:szCs w:val="28"/>
              </w:rPr>
            </w:pPr>
            <w:r>
              <w:rPr>
                <w:rFonts w:hint="eastAsia" w:ascii="仿宋" w:hAnsi="仿宋" w:eastAsia="仿宋"/>
                <w:sz w:val="28"/>
                <w:szCs w:val="28"/>
              </w:rPr>
              <w:t>-</w:t>
            </w:r>
          </w:p>
        </w:tc>
        <w:tc>
          <w:tcPr>
            <w:tcW w:w="110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 w:val="28"/>
                <w:szCs w:val="28"/>
              </w:rPr>
            </w:pPr>
            <w:r>
              <w:rPr>
                <w:rFonts w:hint="eastAsia" w:ascii="仿宋" w:hAnsi="仿宋" w:eastAsia="仿宋"/>
                <w:sz w:val="28"/>
                <w:szCs w:val="28"/>
              </w:rPr>
              <w:t>-</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 w:val="28"/>
                <w:szCs w:val="28"/>
              </w:rPr>
            </w:pPr>
            <w:r>
              <w:rPr>
                <w:rFonts w:hint="eastAsia" w:ascii="仿宋" w:hAnsi="仿宋" w:eastAsia="仿宋"/>
                <w:sz w:val="28"/>
                <w:szCs w:val="28"/>
              </w:rPr>
              <w:t>-</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 w:val="28"/>
                <w:szCs w:val="28"/>
              </w:rPr>
            </w:pPr>
            <w:r>
              <w:rPr>
                <w:rFonts w:ascii="仿宋" w:hAnsi="仿宋" w:eastAsia="仿宋"/>
                <w:sz w:val="28"/>
                <w:szCs w:val="28"/>
              </w:rPr>
              <w:t>1</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 w:val="28"/>
                <w:szCs w:val="28"/>
              </w:rPr>
            </w:pPr>
            <w:r>
              <w:rPr>
                <w:rFonts w:hint="eastAsia" w:ascii="仿宋" w:hAnsi="仿宋" w:eastAsia="仿宋"/>
                <w:sz w:val="28"/>
                <w:szCs w:val="2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547" w:type="dxa"/>
            <w:tcBorders>
              <w:top w:val="single" w:color="000000" w:sz="4" w:space="0"/>
              <w:left w:val="single" w:color="000000" w:sz="4" w:space="0"/>
              <w:bottom w:val="single" w:color="000000" w:sz="4" w:space="0"/>
              <w:right w:val="single" w:color="000000" w:sz="4" w:space="0"/>
            </w:tcBorders>
          </w:tcPr>
          <w:p>
            <w:pPr>
              <w:spacing w:line="480" w:lineRule="exact"/>
              <w:rPr>
                <w:rFonts w:ascii="仿宋" w:hAnsi="仿宋" w:eastAsia="仿宋"/>
                <w:sz w:val="28"/>
                <w:szCs w:val="28"/>
              </w:rPr>
            </w:pPr>
            <w:r>
              <w:rPr>
                <w:rFonts w:hint="eastAsia" w:ascii="仿宋" w:hAnsi="仿宋" w:eastAsia="仿宋"/>
                <w:sz w:val="28"/>
                <w:szCs w:val="28"/>
              </w:rPr>
              <w:t>省部级及以上教学成果奖</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 w:val="28"/>
                <w:szCs w:val="28"/>
              </w:rPr>
            </w:pPr>
            <w:r>
              <w:rPr>
                <w:rFonts w:hint="eastAsia" w:ascii="仿宋" w:hAnsi="仿宋" w:eastAsia="仿宋"/>
                <w:sz w:val="28"/>
                <w:szCs w:val="28"/>
              </w:rPr>
              <w:t>-</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 w:val="28"/>
                <w:szCs w:val="28"/>
              </w:rPr>
            </w:pPr>
            <w:r>
              <w:rPr>
                <w:rFonts w:ascii="仿宋" w:hAnsi="仿宋" w:eastAsia="仿宋"/>
                <w:sz w:val="28"/>
                <w:szCs w:val="28"/>
              </w:rPr>
              <w:t>6</w:t>
            </w:r>
          </w:p>
        </w:tc>
        <w:tc>
          <w:tcPr>
            <w:tcW w:w="110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 w:val="28"/>
                <w:szCs w:val="28"/>
              </w:rPr>
            </w:pPr>
            <w:r>
              <w:rPr>
                <w:rFonts w:hint="eastAsia" w:ascii="仿宋" w:hAnsi="仿宋" w:eastAsia="仿宋"/>
                <w:sz w:val="28"/>
                <w:szCs w:val="28"/>
              </w:rPr>
              <w:t>-</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 w:val="28"/>
                <w:szCs w:val="28"/>
              </w:rPr>
            </w:pPr>
            <w:r>
              <w:rPr>
                <w:rFonts w:hint="eastAsia" w:ascii="仿宋" w:hAnsi="仿宋" w:eastAsia="仿宋"/>
                <w:sz w:val="28"/>
                <w:szCs w:val="28"/>
              </w:rPr>
              <w:t>-</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 w:val="28"/>
                <w:szCs w:val="28"/>
              </w:rPr>
            </w:pPr>
            <w:r>
              <w:rPr>
                <w:rFonts w:hint="eastAsia" w:ascii="仿宋" w:hAnsi="仿宋" w:eastAsia="仿宋"/>
                <w:sz w:val="28"/>
                <w:szCs w:val="28"/>
              </w:rPr>
              <w:t>-</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 w:val="28"/>
                <w:szCs w:val="28"/>
              </w:rPr>
            </w:pPr>
            <w:r>
              <w:rPr>
                <w:rFonts w:hint="eastAsia" w:ascii="仿宋" w:hAnsi="仿宋" w:eastAsia="仿宋"/>
                <w:sz w:val="28"/>
                <w:szCs w:val="2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547" w:type="dxa"/>
            <w:tcBorders>
              <w:top w:val="single" w:color="000000" w:sz="4" w:space="0"/>
              <w:left w:val="single" w:color="000000" w:sz="4" w:space="0"/>
              <w:bottom w:val="single" w:color="000000" w:sz="4" w:space="0"/>
              <w:right w:val="single" w:color="000000" w:sz="4" w:space="0"/>
            </w:tcBorders>
          </w:tcPr>
          <w:p>
            <w:pPr>
              <w:spacing w:line="480" w:lineRule="exact"/>
              <w:rPr>
                <w:rFonts w:ascii="仿宋" w:hAnsi="仿宋" w:eastAsia="仿宋"/>
                <w:sz w:val="28"/>
                <w:szCs w:val="28"/>
              </w:rPr>
            </w:pPr>
            <w:r>
              <w:rPr>
                <w:rFonts w:hint="eastAsia" w:ascii="仿宋" w:hAnsi="仿宋" w:eastAsia="仿宋"/>
                <w:sz w:val="28"/>
                <w:szCs w:val="28"/>
              </w:rPr>
              <w:t>本科教学审核评估</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 w:val="28"/>
                <w:szCs w:val="28"/>
              </w:rPr>
            </w:pPr>
            <w:r>
              <w:rPr>
                <w:rFonts w:hint="eastAsia" w:ascii="仿宋" w:hAnsi="仿宋" w:eastAsia="仿宋"/>
                <w:sz w:val="28"/>
                <w:szCs w:val="28"/>
              </w:rPr>
              <w:t>-</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 w:val="28"/>
                <w:szCs w:val="28"/>
              </w:rPr>
            </w:pPr>
            <w:r>
              <w:rPr>
                <w:rFonts w:hint="eastAsia" w:ascii="仿宋" w:hAnsi="仿宋" w:eastAsia="仿宋"/>
                <w:sz w:val="28"/>
                <w:szCs w:val="28"/>
              </w:rPr>
              <w:t>-</w:t>
            </w:r>
          </w:p>
        </w:tc>
        <w:tc>
          <w:tcPr>
            <w:tcW w:w="110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 w:val="28"/>
                <w:szCs w:val="28"/>
              </w:rPr>
            </w:pPr>
            <w:r>
              <w:rPr>
                <w:rFonts w:hint="eastAsia" w:ascii="仿宋" w:hAnsi="仿宋" w:eastAsia="仿宋"/>
                <w:sz w:val="28"/>
                <w:szCs w:val="28"/>
              </w:rPr>
              <w:t>通过</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 w:val="28"/>
                <w:szCs w:val="28"/>
              </w:rPr>
            </w:pPr>
            <w:r>
              <w:rPr>
                <w:rFonts w:hint="eastAsia" w:ascii="仿宋" w:hAnsi="仿宋" w:eastAsia="仿宋"/>
                <w:sz w:val="28"/>
                <w:szCs w:val="28"/>
              </w:rPr>
              <w:t>-</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 w:val="28"/>
                <w:szCs w:val="28"/>
              </w:rPr>
            </w:pPr>
            <w:r>
              <w:rPr>
                <w:rFonts w:hint="eastAsia" w:ascii="仿宋" w:hAnsi="仿宋" w:eastAsia="仿宋"/>
                <w:sz w:val="28"/>
                <w:szCs w:val="28"/>
              </w:rPr>
              <w:t>-</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 w:hAnsi="仿宋" w:eastAsia="仿宋"/>
                <w:sz w:val="28"/>
                <w:szCs w:val="28"/>
              </w:rPr>
            </w:pPr>
            <w:r>
              <w:rPr>
                <w:rFonts w:hint="eastAsia" w:ascii="仿宋" w:hAnsi="仿宋" w:eastAsia="仿宋"/>
                <w:sz w:val="28"/>
                <w:szCs w:val="28"/>
              </w:rPr>
              <w:t>通过</w:t>
            </w:r>
          </w:p>
        </w:tc>
      </w:tr>
    </w:tbl>
    <w:p>
      <w:pPr>
        <w:spacing w:line="480" w:lineRule="exact"/>
        <w:jc w:val="left"/>
        <w:rPr>
          <w:rFonts w:hint="eastAsia" w:ascii="仿宋" w:hAnsi="仿宋" w:eastAsia="仿宋"/>
          <w:sz w:val="24"/>
          <w:szCs w:val="24"/>
        </w:rPr>
      </w:pPr>
      <w:r>
        <w:rPr>
          <w:rFonts w:hint="eastAsia" w:ascii="仿宋" w:hAnsi="仿宋" w:eastAsia="仿宋"/>
          <w:sz w:val="24"/>
          <w:szCs w:val="24"/>
        </w:rPr>
        <w:t>说明</w:t>
      </w:r>
      <w:r>
        <w:rPr>
          <w:rFonts w:ascii="仿宋" w:hAnsi="仿宋" w:eastAsia="仿宋"/>
          <w:sz w:val="24"/>
          <w:szCs w:val="24"/>
        </w:rPr>
        <w:t>：除了专业数是累</w:t>
      </w:r>
      <w:r>
        <w:rPr>
          <w:rFonts w:hint="eastAsia" w:ascii="仿宋" w:hAnsi="仿宋" w:eastAsia="仿宋"/>
          <w:sz w:val="24"/>
          <w:szCs w:val="24"/>
        </w:rPr>
        <w:t>计</w:t>
      </w:r>
      <w:r>
        <w:rPr>
          <w:rFonts w:ascii="仿宋" w:hAnsi="仿宋" w:eastAsia="仿宋"/>
          <w:sz w:val="24"/>
          <w:szCs w:val="24"/>
        </w:rPr>
        <w:t>，其余均为当年</w:t>
      </w:r>
      <w:r>
        <w:rPr>
          <w:rFonts w:hint="eastAsia" w:ascii="仿宋" w:hAnsi="仿宋" w:eastAsia="仿宋"/>
          <w:sz w:val="24"/>
          <w:szCs w:val="24"/>
        </w:rPr>
        <w:t>新</w:t>
      </w:r>
      <w:r>
        <w:rPr>
          <w:rFonts w:ascii="仿宋" w:hAnsi="仿宋" w:eastAsia="仿宋"/>
          <w:sz w:val="24"/>
          <w:szCs w:val="24"/>
        </w:rPr>
        <w:t>增</w:t>
      </w:r>
      <w:r>
        <w:rPr>
          <w:rFonts w:hint="eastAsia" w:ascii="仿宋" w:hAnsi="仿宋" w:eastAsia="仿宋"/>
          <w:sz w:val="24"/>
          <w:szCs w:val="24"/>
        </w:rPr>
        <w:t>。</w:t>
      </w:r>
    </w:p>
    <w:p>
      <w:pPr>
        <w:spacing w:line="480" w:lineRule="exact"/>
        <w:rPr>
          <w:rFonts w:hint="eastAsia" w:ascii="仿宋" w:hAnsi="仿宋" w:eastAsia="仿宋"/>
          <w:sz w:val="28"/>
          <w:szCs w:val="28"/>
        </w:rPr>
      </w:pPr>
    </w:p>
    <w:p>
      <w:pPr>
        <w:spacing w:line="480" w:lineRule="exact"/>
        <w:jc w:val="center"/>
        <w:rPr>
          <w:rFonts w:ascii="仿宋" w:hAnsi="仿宋" w:eastAsia="仿宋"/>
          <w:b/>
          <w:bCs/>
          <w:sz w:val="28"/>
          <w:szCs w:val="28"/>
        </w:rPr>
      </w:pPr>
      <w:r>
        <w:rPr>
          <w:rFonts w:hint="eastAsia" w:ascii="仿宋" w:hAnsi="仿宋" w:eastAsia="仿宋"/>
          <w:b/>
          <w:bCs/>
          <w:sz w:val="28"/>
          <w:szCs w:val="28"/>
        </w:rPr>
        <w:t>表2  2020年学校学科门类学生人数</w:t>
      </w:r>
      <w:r>
        <w:rPr>
          <w:rFonts w:ascii="仿宋" w:hAnsi="仿宋" w:eastAsia="仿宋"/>
          <w:b/>
          <w:bCs/>
          <w:sz w:val="28"/>
          <w:szCs w:val="28"/>
        </w:rPr>
        <w:t>测算</w:t>
      </w:r>
    </w:p>
    <w:tbl>
      <w:tblPr>
        <w:tblStyle w:val="8"/>
        <w:tblW w:w="9351" w:type="dxa"/>
        <w:jc w:val="center"/>
        <w:tblInd w:w="0" w:type="dxa"/>
        <w:tblLayout w:type="fixed"/>
        <w:tblCellMar>
          <w:top w:w="0" w:type="dxa"/>
          <w:left w:w="108" w:type="dxa"/>
          <w:bottom w:w="0" w:type="dxa"/>
          <w:right w:w="108" w:type="dxa"/>
        </w:tblCellMar>
      </w:tblPr>
      <w:tblGrid>
        <w:gridCol w:w="2127"/>
        <w:gridCol w:w="2012"/>
        <w:gridCol w:w="1559"/>
        <w:gridCol w:w="2126"/>
        <w:gridCol w:w="1527"/>
      </w:tblGrid>
      <w:tr>
        <w:tblPrEx>
          <w:tblLayout w:type="fixed"/>
          <w:tblCellMar>
            <w:top w:w="0" w:type="dxa"/>
            <w:left w:w="108" w:type="dxa"/>
            <w:bottom w:w="0" w:type="dxa"/>
            <w:right w:w="108" w:type="dxa"/>
          </w:tblCellMar>
        </w:tblPrEx>
        <w:trPr>
          <w:trHeight w:val="440" w:hRule="atLeast"/>
          <w:jc w:val="center"/>
        </w:trPr>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ascii="仿宋" w:hAnsi="仿宋" w:eastAsia="仿宋"/>
                <w:sz w:val="28"/>
                <w:szCs w:val="28"/>
              </w:rPr>
            </w:pPr>
            <w:r>
              <w:rPr>
                <w:rFonts w:hint="eastAsia" w:ascii="仿宋" w:hAnsi="仿宋" w:eastAsia="仿宋"/>
                <w:sz w:val="28"/>
                <w:szCs w:val="28"/>
              </w:rPr>
              <w:t>学科</w:t>
            </w:r>
          </w:p>
        </w:tc>
        <w:tc>
          <w:tcPr>
            <w:tcW w:w="2012" w:type="dxa"/>
            <w:tcBorders>
              <w:top w:val="single" w:color="auto" w:sz="4" w:space="0"/>
              <w:left w:val="nil"/>
              <w:bottom w:val="single" w:color="auto" w:sz="4" w:space="0"/>
              <w:right w:val="single" w:color="auto" w:sz="4" w:space="0"/>
            </w:tcBorders>
            <w:shd w:val="clear" w:color="auto" w:fill="auto"/>
            <w:vAlign w:val="center"/>
          </w:tcPr>
          <w:p>
            <w:pPr>
              <w:spacing w:line="480" w:lineRule="exact"/>
              <w:jc w:val="center"/>
              <w:rPr>
                <w:rFonts w:ascii="仿宋" w:hAnsi="仿宋" w:eastAsia="仿宋"/>
                <w:sz w:val="28"/>
                <w:szCs w:val="28"/>
              </w:rPr>
            </w:pPr>
            <w:r>
              <w:rPr>
                <w:rFonts w:hint="eastAsia" w:ascii="仿宋" w:hAnsi="仿宋" w:eastAsia="仿宋"/>
                <w:sz w:val="28"/>
                <w:szCs w:val="28"/>
              </w:rPr>
              <w:t>2017年学生数</w:t>
            </w:r>
          </w:p>
        </w:tc>
        <w:tc>
          <w:tcPr>
            <w:tcW w:w="1559" w:type="dxa"/>
            <w:tcBorders>
              <w:top w:val="single" w:color="auto" w:sz="4" w:space="0"/>
              <w:left w:val="nil"/>
              <w:bottom w:val="single" w:color="auto" w:sz="4" w:space="0"/>
              <w:right w:val="single" w:color="auto" w:sz="4" w:space="0"/>
            </w:tcBorders>
            <w:shd w:val="clear" w:color="auto" w:fill="auto"/>
            <w:vAlign w:val="center"/>
          </w:tcPr>
          <w:p>
            <w:pPr>
              <w:spacing w:line="480" w:lineRule="exact"/>
              <w:jc w:val="center"/>
              <w:rPr>
                <w:rFonts w:ascii="仿宋" w:hAnsi="仿宋" w:eastAsia="仿宋"/>
                <w:sz w:val="28"/>
                <w:szCs w:val="28"/>
              </w:rPr>
            </w:pPr>
            <w:r>
              <w:rPr>
                <w:rFonts w:hint="eastAsia" w:ascii="仿宋" w:hAnsi="仿宋" w:eastAsia="仿宋"/>
                <w:sz w:val="28"/>
                <w:szCs w:val="28"/>
              </w:rPr>
              <w:t>占比</w:t>
            </w:r>
          </w:p>
        </w:tc>
        <w:tc>
          <w:tcPr>
            <w:tcW w:w="2126" w:type="dxa"/>
            <w:tcBorders>
              <w:top w:val="single" w:color="auto" w:sz="4" w:space="0"/>
              <w:left w:val="nil"/>
              <w:bottom w:val="single" w:color="auto" w:sz="4" w:space="0"/>
              <w:right w:val="single" w:color="auto" w:sz="4" w:space="0"/>
            </w:tcBorders>
            <w:shd w:val="clear" w:color="auto" w:fill="auto"/>
            <w:vAlign w:val="center"/>
          </w:tcPr>
          <w:p>
            <w:pPr>
              <w:spacing w:line="480" w:lineRule="exact"/>
              <w:jc w:val="center"/>
              <w:rPr>
                <w:rFonts w:ascii="仿宋" w:hAnsi="仿宋" w:eastAsia="仿宋"/>
                <w:sz w:val="28"/>
                <w:szCs w:val="28"/>
              </w:rPr>
            </w:pPr>
            <w:r>
              <w:rPr>
                <w:rFonts w:hint="eastAsia" w:ascii="仿宋" w:hAnsi="仿宋" w:eastAsia="仿宋"/>
                <w:sz w:val="28"/>
                <w:szCs w:val="28"/>
              </w:rPr>
              <w:t>2020年学生数</w:t>
            </w:r>
          </w:p>
        </w:tc>
        <w:tc>
          <w:tcPr>
            <w:tcW w:w="1527" w:type="dxa"/>
            <w:tcBorders>
              <w:top w:val="single" w:color="auto" w:sz="4" w:space="0"/>
              <w:left w:val="nil"/>
              <w:bottom w:val="single" w:color="auto" w:sz="4" w:space="0"/>
              <w:right w:val="single" w:color="auto" w:sz="4" w:space="0"/>
            </w:tcBorders>
            <w:shd w:val="clear" w:color="auto" w:fill="auto"/>
            <w:vAlign w:val="center"/>
          </w:tcPr>
          <w:p>
            <w:pPr>
              <w:spacing w:line="480" w:lineRule="exact"/>
              <w:jc w:val="center"/>
              <w:rPr>
                <w:rFonts w:ascii="仿宋" w:hAnsi="仿宋" w:eastAsia="仿宋"/>
                <w:sz w:val="28"/>
                <w:szCs w:val="28"/>
              </w:rPr>
            </w:pPr>
            <w:r>
              <w:rPr>
                <w:rFonts w:hint="eastAsia" w:ascii="仿宋" w:hAnsi="仿宋" w:eastAsia="仿宋"/>
                <w:sz w:val="28"/>
                <w:szCs w:val="28"/>
              </w:rPr>
              <w:t>占比</w:t>
            </w:r>
          </w:p>
        </w:tc>
      </w:tr>
      <w:tr>
        <w:tblPrEx>
          <w:tblLayout w:type="fixed"/>
          <w:tblCellMar>
            <w:top w:w="0" w:type="dxa"/>
            <w:left w:w="108" w:type="dxa"/>
            <w:bottom w:w="0" w:type="dxa"/>
            <w:right w:w="108" w:type="dxa"/>
          </w:tblCellMar>
        </w:tblPrEx>
        <w:trPr>
          <w:trHeight w:val="440" w:hRule="atLeast"/>
          <w:jc w:val="center"/>
        </w:trPr>
        <w:tc>
          <w:tcPr>
            <w:tcW w:w="2127" w:type="dxa"/>
            <w:tcBorders>
              <w:top w:val="nil"/>
              <w:left w:val="single" w:color="auto" w:sz="4" w:space="0"/>
              <w:bottom w:val="single" w:color="auto" w:sz="4" w:space="0"/>
              <w:right w:val="single" w:color="auto" w:sz="4" w:space="0"/>
            </w:tcBorders>
            <w:shd w:val="clear" w:color="auto" w:fill="auto"/>
            <w:vAlign w:val="center"/>
          </w:tcPr>
          <w:p>
            <w:pPr>
              <w:spacing w:line="480" w:lineRule="exact"/>
              <w:jc w:val="center"/>
              <w:rPr>
                <w:rFonts w:ascii="仿宋" w:hAnsi="仿宋" w:eastAsia="仿宋"/>
                <w:sz w:val="28"/>
                <w:szCs w:val="28"/>
              </w:rPr>
            </w:pPr>
            <w:r>
              <w:rPr>
                <w:rFonts w:hint="eastAsia" w:ascii="仿宋" w:hAnsi="仿宋" w:eastAsia="仿宋"/>
                <w:sz w:val="28"/>
                <w:szCs w:val="28"/>
              </w:rPr>
              <w:t>工学</w:t>
            </w:r>
          </w:p>
        </w:tc>
        <w:tc>
          <w:tcPr>
            <w:tcW w:w="2012" w:type="dxa"/>
            <w:tcBorders>
              <w:top w:val="nil"/>
              <w:left w:val="nil"/>
              <w:bottom w:val="single" w:color="auto" w:sz="4" w:space="0"/>
              <w:right w:val="single" w:color="auto" w:sz="4" w:space="0"/>
            </w:tcBorders>
            <w:shd w:val="clear" w:color="auto" w:fill="auto"/>
            <w:vAlign w:val="center"/>
          </w:tcPr>
          <w:p>
            <w:pPr>
              <w:spacing w:line="480" w:lineRule="exact"/>
              <w:jc w:val="center"/>
              <w:rPr>
                <w:rFonts w:ascii="仿宋" w:hAnsi="仿宋" w:eastAsia="仿宋"/>
                <w:sz w:val="28"/>
                <w:szCs w:val="28"/>
              </w:rPr>
            </w:pPr>
            <w:r>
              <w:rPr>
                <w:rFonts w:hint="eastAsia" w:ascii="仿宋" w:hAnsi="仿宋" w:eastAsia="仿宋"/>
                <w:sz w:val="28"/>
                <w:szCs w:val="28"/>
              </w:rPr>
              <w:t>6603</w:t>
            </w:r>
          </w:p>
        </w:tc>
        <w:tc>
          <w:tcPr>
            <w:tcW w:w="1559" w:type="dxa"/>
            <w:tcBorders>
              <w:top w:val="nil"/>
              <w:left w:val="nil"/>
              <w:bottom w:val="single" w:color="auto" w:sz="4" w:space="0"/>
              <w:right w:val="single" w:color="auto" w:sz="4" w:space="0"/>
            </w:tcBorders>
            <w:shd w:val="clear" w:color="auto" w:fill="auto"/>
            <w:vAlign w:val="center"/>
          </w:tcPr>
          <w:p>
            <w:pPr>
              <w:spacing w:line="480" w:lineRule="exact"/>
              <w:jc w:val="center"/>
              <w:rPr>
                <w:rFonts w:ascii="仿宋" w:hAnsi="仿宋" w:eastAsia="仿宋"/>
                <w:sz w:val="28"/>
                <w:szCs w:val="28"/>
              </w:rPr>
            </w:pPr>
            <w:r>
              <w:rPr>
                <w:rFonts w:hint="eastAsia" w:ascii="仿宋" w:hAnsi="仿宋" w:eastAsia="仿宋"/>
                <w:sz w:val="28"/>
                <w:szCs w:val="28"/>
              </w:rPr>
              <w:t>64.6%</w:t>
            </w:r>
          </w:p>
        </w:tc>
        <w:tc>
          <w:tcPr>
            <w:tcW w:w="2126" w:type="dxa"/>
            <w:tcBorders>
              <w:top w:val="nil"/>
              <w:left w:val="nil"/>
              <w:bottom w:val="single" w:color="auto" w:sz="4" w:space="0"/>
              <w:right w:val="single" w:color="auto" w:sz="4" w:space="0"/>
            </w:tcBorders>
            <w:shd w:val="clear" w:color="auto" w:fill="auto"/>
            <w:vAlign w:val="center"/>
          </w:tcPr>
          <w:p>
            <w:pPr>
              <w:spacing w:line="480" w:lineRule="exact"/>
              <w:jc w:val="center"/>
              <w:rPr>
                <w:rFonts w:ascii="仿宋" w:hAnsi="仿宋" w:eastAsia="仿宋"/>
                <w:sz w:val="28"/>
                <w:szCs w:val="28"/>
              </w:rPr>
            </w:pPr>
            <w:r>
              <w:rPr>
                <w:rFonts w:hint="eastAsia" w:ascii="仿宋" w:hAnsi="仿宋" w:eastAsia="仿宋"/>
                <w:sz w:val="28"/>
                <w:szCs w:val="28"/>
              </w:rPr>
              <w:t>6001</w:t>
            </w:r>
          </w:p>
        </w:tc>
        <w:tc>
          <w:tcPr>
            <w:tcW w:w="1527" w:type="dxa"/>
            <w:tcBorders>
              <w:top w:val="nil"/>
              <w:left w:val="nil"/>
              <w:bottom w:val="single" w:color="auto" w:sz="4" w:space="0"/>
              <w:right w:val="single" w:color="auto" w:sz="4" w:space="0"/>
            </w:tcBorders>
            <w:shd w:val="clear" w:color="auto" w:fill="auto"/>
            <w:vAlign w:val="center"/>
          </w:tcPr>
          <w:p>
            <w:pPr>
              <w:spacing w:line="480" w:lineRule="exact"/>
              <w:jc w:val="center"/>
              <w:rPr>
                <w:rFonts w:ascii="仿宋" w:hAnsi="仿宋" w:eastAsia="仿宋"/>
                <w:sz w:val="28"/>
                <w:szCs w:val="28"/>
              </w:rPr>
            </w:pPr>
            <w:r>
              <w:rPr>
                <w:rFonts w:hint="eastAsia" w:ascii="仿宋" w:hAnsi="仿宋" w:eastAsia="仿宋"/>
                <w:sz w:val="28"/>
                <w:szCs w:val="28"/>
              </w:rPr>
              <w:t>59.7%</w:t>
            </w:r>
          </w:p>
        </w:tc>
      </w:tr>
      <w:tr>
        <w:tblPrEx>
          <w:tblLayout w:type="fixed"/>
          <w:tblCellMar>
            <w:top w:w="0" w:type="dxa"/>
            <w:left w:w="108" w:type="dxa"/>
            <w:bottom w:w="0" w:type="dxa"/>
            <w:right w:w="108" w:type="dxa"/>
          </w:tblCellMar>
        </w:tblPrEx>
        <w:trPr>
          <w:trHeight w:val="440" w:hRule="atLeast"/>
          <w:jc w:val="center"/>
        </w:trPr>
        <w:tc>
          <w:tcPr>
            <w:tcW w:w="2127" w:type="dxa"/>
            <w:tcBorders>
              <w:top w:val="nil"/>
              <w:left w:val="single" w:color="auto" w:sz="4" w:space="0"/>
              <w:bottom w:val="single" w:color="auto" w:sz="4" w:space="0"/>
              <w:right w:val="single" w:color="auto" w:sz="4" w:space="0"/>
            </w:tcBorders>
            <w:shd w:val="clear" w:color="auto" w:fill="auto"/>
            <w:vAlign w:val="center"/>
          </w:tcPr>
          <w:p>
            <w:pPr>
              <w:spacing w:line="480" w:lineRule="exact"/>
              <w:jc w:val="center"/>
              <w:rPr>
                <w:rFonts w:ascii="仿宋" w:hAnsi="仿宋" w:eastAsia="仿宋"/>
                <w:sz w:val="28"/>
                <w:szCs w:val="28"/>
              </w:rPr>
            </w:pPr>
            <w:r>
              <w:rPr>
                <w:rFonts w:hint="eastAsia" w:ascii="仿宋" w:hAnsi="仿宋" w:eastAsia="仿宋"/>
                <w:sz w:val="28"/>
                <w:szCs w:val="28"/>
              </w:rPr>
              <w:t>管理学</w:t>
            </w:r>
          </w:p>
        </w:tc>
        <w:tc>
          <w:tcPr>
            <w:tcW w:w="2012" w:type="dxa"/>
            <w:tcBorders>
              <w:top w:val="nil"/>
              <w:left w:val="nil"/>
              <w:bottom w:val="single" w:color="auto" w:sz="4" w:space="0"/>
              <w:right w:val="single" w:color="auto" w:sz="4" w:space="0"/>
            </w:tcBorders>
            <w:shd w:val="clear" w:color="auto" w:fill="auto"/>
            <w:vAlign w:val="center"/>
          </w:tcPr>
          <w:p>
            <w:pPr>
              <w:spacing w:line="480" w:lineRule="exact"/>
              <w:jc w:val="center"/>
              <w:rPr>
                <w:rFonts w:ascii="仿宋" w:hAnsi="仿宋" w:eastAsia="仿宋"/>
                <w:sz w:val="28"/>
                <w:szCs w:val="28"/>
              </w:rPr>
            </w:pPr>
            <w:r>
              <w:rPr>
                <w:rFonts w:hint="eastAsia" w:ascii="仿宋" w:hAnsi="仿宋" w:eastAsia="仿宋"/>
                <w:sz w:val="28"/>
                <w:szCs w:val="28"/>
              </w:rPr>
              <w:t>1603</w:t>
            </w:r>
          </w:p>
        </w:tc>
        <w:tc>
          <w:tcPr>
            <w:tcW w:w="1559" w:type="dxa"/>
            <w:tcBorders>
              <w:top w:val="nil"/>
              <w:left w:val="nil"/>
              <w:bottom w:val="single" w:color="auto" w:sz="4" w:space="0"/>
              <w:right w:val="single" w:color="auto" w:sz="4" w:space="0"/>
            </w:tcBorders>
            <w:shd w:val="clear" w:color="auto" w:fill="auto"/>
            <w:vAlign w:val="center"/>
          </w:tcPr>
          <w:p>
            <w:pPr>
              <w:spacing w:line="480" w:lineRule="exact"/>
              <w:jc w:val="center"/>
              <w:rPr>
                <w:rFonts w:ascii="仿宋" w:hAnsi="仿宋" w:eastAsia="仿宋"/>
                <w:sz w:val="28"/>
                <w:szCs w:val="28"/>
              </w:rPr>
            </w:pPr>
            <w:r>
              <w:rPr>
                <w:rFonts w:hint="eastAsia" w:ascii="仿宋" w:hAnsi="仿宋" w:eastAsia="仿宋"/>
                <w:sz w:val="28"/>
                <w:szCs w:val="28"/>
              </w:rPr>
              <w:t>15.7%</w:t>
            </w:r>
          </w:p>
        </w:tc>
        <w:tc>
          <w:tcPr>
            <w:tcW w:w="2126" w:type="dxa"/>
            <w:tcBorders>
              <w:top w:val="nil"/>
              <w:left w:val="nil"/>
              <w:bottom w:val="single" w:color="auto" w:sz="4" w:space="0"/>
              <w:right w:val="single" w:color="auto" w:sz="4" w:space="0"/>
            </w:tcBorders>
            <w:shd w:val="clear" w:color="auto" w:fill="auto"/>
            <w:vAlign w:val="center"/>
          </w:tcPr>
          <w:p>
            <w:pPr>
              <w:spacing w:line="480" w:lineRule="exact"/>
              <w:jc w:val="center"/>
              <w:rPr>
                <w:rFonts w:ascii="仿宋" w:hAnsi="仿宋" w:eastAsia="仿宋"/>
                <w:sz w:val="28"/>
                <w:szCs w:val="28"/>
              </w:rPr>
            </w:pPr>
            <w:r>
              <w:rPr>
                <w:rFonts w:hint="eastAsia" w:ascii="仿宋" w:hAnsi="仿宋" w:eastAsia="仿宋"/>
                <w:sz w:val="28"/>
                <w:szCs w:val="28"/>
              </w:rPr>
              <w:t>1520</w:t>
            </w:r>
          </w:p>
        </w:tc>
        <w:tc>
          <w:tcPr>
            <w:tcW w:w="1527" w:type="dxa"/>
            <w:tcBorders>
              <w:top w:val="nil"/>
              <w:left w:val="nil"/>
              <w:bottom w:val="single" w:color="auto" w:sz="4" w:space="0"/>
              <w:right w:val="single" w:color="auto" w:sz="4" w:space="0"/>
            </w:tcBorders>
            <w:shd w:val="clear" w:color="auto" w:fill="auto"/>
            <w:vAlign w:val="center"/>
          </w:tcPr>
          <w:p>
            <w:pPr>
              <w:spacing w:line="480" w:lineRule="exact"/>
              <w:jc w:val="center"/>
              <w:rPr>
                <w:rFonts w:ascii="仿宋" w:hAnsi="仿宋" w:eastAsia="仿宋"/>
                <w:sz w:val="28"/>
                <w:szCs w:val="28"/>
              </w:rPr>
            </w:pPr>
            <w:r>
              <w:rPr>
                <w:rFonts w:hint="eastAsia" w:ascii="仿宋" w:hAnsi="仿宋" w:eastAsia="仿宋"/>
                <w:sz w:val="28"/>
                <w:szCs w:val="28"/>
              </w:rPr>
              <w:t>15.1%</w:t>
            </w:r>
          </w:p>
        </w:tc>
      </w:tr>
      <w:tr>
        <w:tblPrEx>
          <w:tblLayout w:type="fixed"/>
          <w:tblCellMar>
            <w:top w:w="0" w:type="dxa"/>
            <w:left w:w="108" w:type="dxa"/>
            <w:bottom w:w="0" w:type="dxa"/>
            <w:right w:w="108" w:type="dxa"/>
          </w:tblCellMar>
        </w:tblPrEx>
        <w:trPr>
          <w:trHeight w:val="440" w:hRule="atLeast"/>
          <w:jc w:val="center"/>
        </w:trPr>
        <w:tc>
          <w:tcPr>
            <w:tcW w:w="2127" w:type="dxa"/>
            <w:tcBorders>
              <w:top w:val="nil"/>
              <w:left w:val="single" w:color="auto" w:sz="4" w:space="0"/>
              <w:bottom w:val="single" w:color="auto" w:sz="4" w:space="0"/>
              <w:right w:val="single" w:color="auto" w:sz="4" w:space="0"/>
            </w:tcBorders>
            <w:shd w:val="clear" w:color="auto" w:fill="auto"/>
            <w:vAlign w:val="center"/>
          </w:tcPr>
          <w:p>
            <w:pPr>
              <w:spacing w:line="480" w:lineRule="exact"/>
              <w:jc w:val="center"/>
              <w:rPr>
                <w:rFonts w:ascii="仿宋" w:hAnsi="仿宋" w:eastAsia="仿宋"/>
                <w:sz w:val="28"/>
                <w:szCs w:val="28"/>
              </w:rPr>
            </w:pPr>
            <w:r>
              <w:rPr>
                <w:rFonts w:hint="eastAsia" w:ascii="仿宋" w:hAnsi="仿宋" w:eastAsia="仿宋"/>
                <w:sz w:val="28"/>
                <w:szCs w:val="28"/>
              </w:rPr>
              <w:t>经济学</w:t>
            </w:r>
          </w:p>
        </w:tc>
        <w:tc>
          <w:tcPr>
            <w:tcW w:w="2012" w:type="dxa"/>
            <w:tcBorders>
              <w:top w:val="nil"/>
              <w:left w:val="nil"/>
              <w:bottom w:val="single" w:color="auto" w:sz="4" w:space="0"/>
              <w:right w:val="single" w:color="auto" w:sz="4" w:space="0"/>
            </w:tcBorders>
            <w:shd w:val="clear" w:color="auto" w:fill="auto"/>
            <w:vAlign w:val="center"/>
          </w:tcPr>
          <w:p>
            <w:pPr>
              <w:spacing w:line="480" w:lineRule="exact"/>
              <w:jc w:val="center"/>
              <w:rPr>
                <w:rFonts w:ascii="仿宋" w:hAnsi="仿宋" w:eastAsia="仿宋"/>
                <w:sz w:val="28"/>
                <w:szCs w:val="28"/>
              </w:rPr>
            </w:pPr>
            <w:r>
              <w:rPr>
                <w:rFonts w:hint="eastAsia" w:ascii="仿宋" w:hAnsi="仿宋" w:eastAsia="仿宋"/>
                <w:sz w:val="28"/>
                <w:szCs w:val="28"/>
              </w:rPr>
              <w:t>1004</w:t>
            </w:r>
          </w:p>
        </w:tc>
        <w:tc>
          <w:tcPr>
            <w:tcW w:w="1559" w:type="dxa"/>
            <w:tcBorders>
              <w:top w:val="nil"/>
              <w:left w:val="nil"/>
              <w:bottom w:val="single" w:color="auto" w:sz="4" w:space="0"/>
              <w:right w:val="single" w:color="auto" w:sz="4" w:space="0"/>
            </w:tcBorders>
            <w:shd w:val="clear" w:color="auto" w:fill="auto"/>
            <w:vAlign w:val="center"/>
          </w:tcPr>
          <w:p>
            <w:pPr>
              <w:spacing w:line="480" w:lineRule="exact"/>
              <w:jc w:val="center"/>
              <w:rPr>
                <w:rFonts w:ascii="仿宋" w:hAnsi="仿宋" w:eastAsia="仿宋"/>
                <w:sz w:val="28"/>
                <w:szCs w:val="28"/>
              </w:rPr>
            </w:pPr>
            <w:r>
              <w:rPr>
                <w:rFonts w:hint="eastAsia" w:ascii="仿宋" w:hAnsi="仿宋" w:eastAsia="仿宋"/>
                <w:sz w:val="28"/>
                <w:szCs w:val="28"/>
              </w:rPr>
              <w:t>9.8%</w:t>
            </w:r>
          </w:p>
        </w:tc>
        <w:tc>
          <w:tcPr>
            <w:tcW w:w="2126" w:type="dxa"/>
            <w:tcBorders>
              <w:top w:val="nil"/>
              <w:left w:val="nil"/>
              <w:bottom w:val="single" w:color="auto" w:sz="4" w:space="0"/>
              <w:right w:val="single" w:color="auto" w:sz="4" w:space="0"/>
            </w:tcBorders>
            <w:shd w:val="clear" w:color="auto" w:fill="auto"/>
            <w:vAlign w:val="center"/>
          </w:tcPr>
          <w:p>
            <w:pPr>
              <w:spacing w:line="480" w:lineRule="exact"/>
              <w:jc w:val="center"/>
              <w:rPr>
                <w:rFonts w:ascii="仿宋" w:hAnsi="仿宋" w:eastAsia="仿宋"/>
                <w:sz w:val="28"/>
                <w:szCs w:val="28"/>
              </w:rPr>
            </w:pPr>
            <w:r>
              <w:rPr>
                <w:rFonts w:hint="eastAsia" w:ascii="仿宋" w:hAnsi="仿宋" w:eastAsia="仿宋"/>
                <w:sz w:val="28"/>
                <w:szCs w:val="28"/>
              </w:rPr>
              <w:t>1511</w:t>
            </w:r>
          </w:p>
        </w:tc>
        <w:tc>
          <w:tcPr>
            <w:tcW w:w="1527" w:type="dxa"/>
            <w:tcBorders>
              <w:top w:val="nil"/>
              <w:left w:val="nil"/>
              <w:bottom w:val="single" w:color="auto" w:sz="4" w:space="0"/>
              <w:right w:val="single" w:color="auto" w:sz="4" w:space="0"/>
            </w:tcBorders>
            <w:shd w:val="clear" w:color="auto" w:fill="auto"/>
            <w:vAlign w:val="center"/>
          </w:tcPr>
          <w:p>
            <w:pPr>
              <w:spacing w:line="480" w:lineRule="exact"/>
              <w:jc w:val="center"/>
              <w:rPr>
                <w:rFonts w:ascii="仿宋" w:hAnsi="仿宋" w:eastAsia="仿宋"/>
                <w:sz w:val="28"/>
                <w:szCs w:val="28"/>
              </w:rPr>
            </w:pPr>
            <w:r>
              <w:rPr>
                <w:rFonts w:hint="eastAsia" w:ascii="仿宋" w:hAnsi="仿宋" w:eastAsia="仿宋"/>
                <w:sz w:val="28"/>
                <w:szCs w:val="28"/>
              </w:rPr>
              <w:t>15.0%</w:t>
            </w:r>
          </w:p>
        </w:tc>
      </w:tr>
      <w:tr>
        <w:tblPrEx>
          <w:tblLayout w:type="fixed"/>
          <w:tblCellMar>
            <w:top w:w="0" w:type="dxa"/>
            <w:left w:w="108" w:type="dxa"/>
            <w:bottom w:w="0" w:type="dxa"/>
            <w:right w:w="108" w:type="dxa"/>
          </w:tblCellMar>
        </w:tblPrEx>
        <w:trPr>
          <w:trHeight w:val="440" w:hRule="atLeast"/>
          <w:jc w:val="center"/>
        </w:trPr>
        <w:tc>
          <w:tcPr>
            <w:tcW w:w="2127" w:type="dxa"/>
            <w:tcBorders>
              <w:top w:val="nil"/>
              <w:left w:val="single" w:color="auto" w:sz="4" w:space="0"/>
              <w:bottom w:val="single" w:color="auto" w:sz="4" w:space="0"/>
              <w:right w:val="single" w:color="auto" w:sz="4" w:space="0"/>
            </w:tcBorders>
            <w:shd w:val="clear" w:color="auto" w:fill="auto"/>
            <w:vAlign w:val="center"/>
          </w:tcPr>
          <w:p>
            <w:pPr>
              <w:spacing w:line="480" w:lineRule="exact"/>
              <w:jc w:val="center"/>
              <w:rPr>
                <w:rFonts w:ascii="仿宋" w:hAnsi="仿宋" w:eastAsia="仿宋"/>
                <w:sz w:val="28"/>
                <w:szCs w:val="28"/>
              </w:rPr>
            </w:pPr>
            <w:r>
              <w:rPr>
                <w:rFonts w:hint="eastAsia" w:ascii="仿宋" w:hAnsi="仿宋" w:eastAsia="仿宋"/>
                <w:sz w:val="28"/>
                <w:szCs w:val="28"/>
              </w:rPr>
              <w:t>文学</w:t>
            </w:r>
          </w:p>
        </w:tc>
        <w:tc>
          <w:tcPr>
            <w:tcW w:w="2012" w:type="dxa"/>
            <w:tcBorders>
              <w:top w:val="nil"/>
              <w:left w:val="nil"/>
              <w:bottom w:val="single" w:color="auto" w:sz="4" w:space="0"/>
              <w:right w:val="single" w:color="auto" w:sz="4" w:space="0"/>
            </w:tcBorders>
            <w:shd w:val="clear" w:color="auto" w:fill="auto"/>
            <w:vAlign w:val="center"/>
          </w:tcPr>
          <w:p>
            <w:pPr>
              <w:spacing w:line="480" w:lineRule="exact"/>
              <w:jc w:val="center"/>
              <w:rPr>
                <w:rFonts w:ascii="仿宋" w:hAnsi="仿宋" w:eastAsia="仿宋"/>
                <w:sz w:val="28"/>
                <w:szCs w:val="28"/>
              </w:rPr>
            </w:pPr>
            <w:r>
              <w:rPr>
                <w:rFonts w:hint="eastAsia" w:ascii="仿宋" w:hAnsi="仿宋" w:eastAsia="仿宋"/>
                <w:sz w:val="28"/>
                <w:szCs w:val="28"/>
              </w:rPr>
              <w:t>748</w:t>
            </w:r>
          </w:p>
        </w:tc>
        <w:tc>
          <w:tcPr>
            <w:tcW w:w="1559" w:type="dxa"/>
            <w:tcBorders>
              <w:top w:val="nil"/>
              <w:left w:val="nil"/>
              <w:bottom w:val="single" w:color="auto" w:sz="4" w:space="0"/>
              <w:right w:val="single" w:color="auto" w:sz="4" w:space="0"/>
            </w:tcBorders>
            <w:shd w:val="clear" w:color="auto" w:fill="auto"/>
            <w:vAlign w:val="center"/>
          </w:tcPr>
          <w:p>
            <w:pPr>
              <w:spacing w:line="480" w:lineRule="exact"/>
              <w:jc w:val="center"/>
              <w:rPr>
                <w:rFonts w:ascii="仿宋" w:hAnsi="仿宋" w:eastAsia="仿宋"/>
                <w:sz w:val="28"/>
                <w:szCs w:val="28"/>
              </w:rPr>
            </w:pPr>
            <w:r>
              <w:rPr>
                <w:rFonts w:hint="eastAsia" w:ascii="仿宋" w:hAnsi="仿宋" w:eastAsia="仿宋"/>
                <w:sz w:val="28"/>
                <w:szCs w:val="28"/>
              </w:rPr>
              <w:t>7.3%</w:t>
            </w:r>
          </w:p>
        </w:tc>
        <w:tc>
          <w:tcPr>
            <w:tcW w:w="2126" w:type="dxa"/>
            <w:tcBorders>
              <w:top w:val="nil"/>
              <w:left w:val="nil"/>
              <w:bottom w:val="single" w:color="auto" w:sz="4" w:space="0"/>
              <w:right w:val="single" w:color="auto" w:sz="4" w:space="0"/>
            </w:tcBorders>
            <w:shd w:val="clear" w:color="auto" w:fill="auto"/>
            <w:vAlign w:val="center"/>
          </w:tcPr>
          <w:p>
            <w:pPr>
              <w:spacing w:line="480" w:lineRule="exact"/>
              <w:jc w:val="center"/>
              <w:rPr>
                <w:rFonts w:ascii="仿宋" w:hAnsi="仿宋" w:eastAsia="仿宋"/>
                <w:sz w:val="28"/>
                <w:szCs w:val="28"/>
              </w:rPr>
            </w:pPr>
            <w:r>
              <w:rPr>
                <w:rFonts w:hint="eastAsia" w:ascii="仿宋" w:hAnsi="仿宋" w:eastAsia="仿宋"/>
                <w:sz w:val="28"/>
                <w:szCs w:val="28"/>
              </w:rPr>
              <w:t>658</w:t>
            </w:r>
          </w:p>
        </w:tc>
        <w:tc>
          <w:tcPr>
            <w:tcW w:w="1527" w:type="dxa"/>
            <w:tcBorders>
              <w:top w:val="nil"/>
              <w:left w:val="nil"/>
              <w:bottom w:val="single" w:color="auto" w:sz="4" w:space="0"/>
              <w:right w:val="single" w:color="auto" w:sz="4" w:space="0"/>
            </w:tcBorders>
            <w:shd w:val="clear" w:color="auto" w:fill="auto"/>
            <w:vAlign w:val="center"/>
          </w:tcPr>
          <w:p>
            <w:pPr>
              <w:spacing w:line="480" w:lineRule="exact"/>
              <w:jc w:val="center"/>
              <w:rPr>
                <w:rFonts w:ascii="仿宋" w:hAnsi="仿宋" w:eastAsia="仿宋"/>
                <w:sz w:val="28"/>
                <w:szCs w:val="28"/>
              </w:rPr>
            </w:pPr>
            <w:r>
              <w:rPr>
                <w:rFonts w:hint="eastAsia" w:ascii="仿宋" w:hAnsi="仿宋" w:eastAsia="仿宋"/>
                <w:sz w:val="28"/>
                <w:szCs w:val="28"/>
              </w:rPr>
              <w:t>6.5%</w:t>
            </w:r>
          </w:p>
        </w:tc>
      </w:tr>
      <w:tr>
        <w:tblPrEx>
          <w:tblLayout w:type="fixed"/>
          <w:tblCellMar>
            <w:top w:w="0" w:type="dxa"/>
            <w:left w:w="108" w:type="dxa"/>
            <w:bottom w:w="0" w:type="dxa"/>
            <w:right w:w="108" w:type="dxa"/>
          </w:tblCellMar>
        </w:tblPrEx>
        <w:trPr>
          <w:trHeight w:val="440" w:hRule="atLeast"/>
          <w:jc w:val="center"/>
        </w:trPr>
        <w:tc>
          <w:tcPr>
            <w:tcW w:w="2127" w:type="dxa"/>
            <w:tcBorders>
              <w:top w:val="nil"/>
              <w:left w:val="single" w:color="auto" w:sz="4" w:space="0"/>
              <w:bottom w:val="single" w:color="auto" w:sz="4" w:space="0"/>
              <w:right w:val="single" w:color="auto" w:sz="4" w:space="0"/>
            </w:tcBorders>
            <w:shd w:val="clear" w:color="auto" w:fill="auto"/>
            <w:vAlign w:val="center"/>
          </w:tcPr>
          <w:p>
            <w:pPr>
              <w:spacing w:line="480" w:lineRule="exact"/>
              <w:jc w:val="center"/>
              <w:rPr>
                <w:rFonts w:ascii="仿宋" w:hAnsi="仿宋" w:eastAsia="仿宋"/>
                <w:sz w:val="28"/>
                <w:szCs w:val="28"/>
              </w:rPr>
            </w:pPr>
            <w:r>
              <w:rPr>
                <w:rFonts w:hint="eastAsia" w:ascii="仿宋" w:hAnsi="仿宋" w:eastAsia="仿宋"/>
                <w:sz w:val="28"/>
                <w:szCs w:val="28"/>
              </w:rPr>
              <w:t>艺术学</w:t>
            </w:r>
          </w:p>
        </w:tc>
        <w:tc>
          <w:tcPr>
            <w:tcW w:w="2012" w:type="dxa"/>
            <w:tcBorders>
              <w:top w:val="nil"/>
              <w:left w:val="nil"/>
              <w:bottom w:val="single" w:color="auto" w:sz="4" w:space="0"/>
              <w:right w:val="single" w:color="auto" w:sz="4" w:space="0"/>
            </w:tcBorders>
            <w:shd w:val="clear" w:color="auto" w:fill="auto"/>
            <w:vAlign w:val="center"/>
          </w:tcPr>
          <w:p>
            <w:pPr>
              <w:spacing w:line="480" w:lineRule="exact"/>
              <w:jc w:val="center"/>
              <w:rPr>
                <w:rFonts w:ascii="仿宋" w:hAnsi="仿宋" w:eastAsia="仿宋"/>
                <w:sz w:val="28"/>
                <w:szCs w:val="28"/>
              </w:rPr>
            </w:pPr>
            <w:r>
              <w:rPr>
                <w:rFonts w:hint="eastAsia" w:ascii="仿宋" w:hAnsi="仿宋" w:eastAsia="仿宋"/>
                <w:sz w:val="28"/>
                <w:szCs w:val="28"/>
              </w:rPr>
              <w:t>260</w:t>
            </w:r>
          </w:p>
        </w:tc>
        <w:tc>
          <w:tcPr>
            <w:tcW w:w="1559" w:type="dxa"/>
            <w:tcBorders>
              <w:top w:val="nil"/>
              <w:left w:val="nil"/>
              <w:bottom w:val="single" w:color="auto" w:sz="4" w:space="0"/>
              <w:right w:val="single" w:color="auto" w:sz="4" w:space="0"/>
            </w:tcBorders>
            <w:shd w:val="clear" w:color="auto" w:fill="auto"/>
            <w:vAlign w:val="center"/>
          </w:tcPr>
          <w:p>
            <w:pPr>
              <w:spacing w:line="480" w:lineRule="exact"/>
              <w:jc w:val="center"/>
              <w:rPr>
                <w:rFonts w:ascii="仿宋" w:hAnsi="仿宋" w:eastAsia="仿宋"/>
                <w:sz w:val="28"/>
                <w:szCs w:val="28"/>
              </w:rPr>
            </w:pPr>
            <w:r>
              <w:rPr>
                <w:rFonts w:hint="eastAsia" w:ascii="仿宋" w:hAnsi="仿宋" w:eastAsia="仿宋"/>
                <w:sz w:val="28"/>
                <w:szCs w:val="28"/>
              </w:rPr>
              <w:t>2.5%</w:t>
            </w:r>
          </w:p>
        </w:tc>
        <w:tc>
          <w:tcPr>
            <w:tcW w:w="2126" w:type="dxa"/>
            <w:tcBorders>
              <w:top w:val="nil"/>
              <w:left w:val="nil"/>
              <w:bottom w:val="single" w:color="auto" w:sz="4" w:space="0"/>
              <w:right w:val="single" w:color="auto" w:sz="4" w:space="0"/>
            </w:tcBorders>
            <w:shd w:val="clear" w:color="auto" w:fill="auto"/>
            <w:vAlign w:val="center"/>
          </w:tcPr>
          <w:p>
            <w:pPr>
              <w:spacing w:line="480" w:lineRule="exact"/>
              <w:jc w:val="center"/>
              <w:rPr>
                <w:rFonts w:ascii="仿宋" w:hAnsi="仿宋" w:eastAsia="仿宋"/>
                <w:sz w:val="28"/>
                <w:szCs w:val="28"/>
              </w:rPr>
            </w:pPr>
            <w:r>
              <w:rPr>
                <w:rFonts w:hint="eastAsia" w:ascii="仿宋" w:hAnsi="仿宋" w:eastAsia="仿宋"/>
                <w:sz w:val="28"/>
                <w:szCs w:val="28"/>
              </w:rPr>
              <w:t>359</w:t>
            </w:r>
          </w:p>
        </w:tc>
        <w:tc>
          <w:tcPr>
            <w:tcW w:w="1527" w:type="dxa"/>
            <w:tcBorders>
              <w:top w:val="nil"/>
              <w:left w:val="nil"/>
              <w:bottom w:val="single" w:color="auto" w:sz="4" w:space="0"/>
              <w:right w:val="single" w:color="auto" w:sz="4" w:space="0"/>
            </w:tcBorders>
            <w:shd w:val="clear" w:color="auto" w:fill="auto"/>
            <w:vAlign w:val="center"/>
          </w:tcPr>
          <w:p>
            <w:pPr>
              <w:spacing w:line="480" w:lineRule="exact"/>
              <w:jc w:val="center"/>
              <w:rPr>
                <w:rFonts w:ascii="仿宋" w:hAnsi="仿宋" w:eastAsia="仿宋"/>
                <w:sz w:val="28"/>
                <w:szCs w:val="28"/>
              </w:rPr>
            </w:pPr>
            <w:r>
              <w:rPr>
                <w:rFonts w:hint="eastAsia" w:ascii="仿宋" w:hAnsi="仿宋" w:eastAsia="仿宋"/>
                <w:sz w:val="28"/>
                <w:szCs w:val="28"/>
              </w:rPr>
              <w:t>3.6%</w:t>
            </w:r>
          </w:p>
        </w:tc>
      </w:tr>
      <w:tr>
        <w:tblPrEx>
          <w:tblLayout w:type="fixed"/>
          <w:tblCellMar>
            <w:top w:w="0" w:type="dxa"/>
            <w:left w:w="108" w:type="dxa"/>
            <w:bottom w:w="0" w:type="dxa"/>
            <w:right w:w="108" w:type="dxa"/>
          </w:tblCellMar>
        </w:tblPrEx>
        <w:trPr>
          <w:trHeight w:val="440" w:hRule="atLeast"/>
          <w:jc w:val="center"/>
        </w:trPr>
        <w:tc>
          <w:tcPr>
            <w:tcW w:w="2127" w:type="dxa"/>
            <w:tcBorders>
              <w:top w:val="nil"/>
              <w:left w:val="single" w:color="auto" w:sz="4" w:space="0"/>
              <w:bottom w:val="single" w:color="auto" w:sz="4" w:space="0"/>
              <w:right w:val="single" w:color="auto" w:sz="4" w:space="0"/>
            </w:tcBorders>
            <w:shd w:val="clear" w:color="auto" w:fill="auto"/>
            <w:vAlign w:val="center"/>
          </w:tcPr>
          <w:p>
            <w:pPr>
              <w:spacing w:line="480" w:lineRule="exact"/>
              <w:jc w:val="center"/>
              <w:rPr>
                <w:rFonts w:ascii="仿宋" w:hAnsi="仿宋" w:eastAsia="仿宋"/>
                <w:sz w:val="28"/>
                <w:szCs w:val="28"/>
              </w:rPr>
            </w:pPr>
            <w:r>
              <w:rPr>
                <w:rFonts w:hint="eastAsia" w:ascii="仿宋" w:hAnsi="仿宋" w:eastAsia="仿宋"/>
                <w:sz w:val="28"/>
                <w:szCs w:val="28"/>
              </w:rPr>
              <w:t>总计</w:t>
            </w:r>
          </w:p>
        </w:tc>
        <w:tc>
          <w:tcPr>
            <w:tcW w:w="2012" w:type="dxa"/>
            <w:tcBorders>
              <w:top w:val="nil"/>
              <w:left w:val="nil"/>
              <w:bottom w:val="single" w:color="auto" w:sz="4" w:space="0"/>
              <w:right w:val="single" w:color="auto" w:sz="4" w:space="0"/>
            </w:tcBorders>
            <w:shd w:val="clear" w:color="auto" w:fill="auto"/>
            <w:vAlign w:val="center"/>
          </w:tcPr>
          <w:p>
            <w:pPr>
              <w:spacing w:line="480" w:lineRule="exact"/>
              <w:jc w:val="center"/>
              <w:rPr>
                <w:rFonts w:ascii="仿宋" w:hAnsi="仿宋" w:eastAsia="仿宋"/>
                <w:sz w:val="28"/>
                <w:szCs w:val="28"/>
              </w:rPr>
            </w:pPr>
            <w:r>
              <w:rPr>
                <w:rFonts w:hint="eastAsia" w:ascii="仿宋" w:hAnsi="仿宋" w:eastAsia="仿宋"/>
                <w:sz w:val="28"/>
                <w:szCs w:val="28"/>
              </w:rPr>
              <w:t>10218</w:t>
            </w:r>
          </w:p>
        </w:tc>
        <w:tc>
          <w:tcPr>
            <w:tcW w:w="1559" w:type="dxa"/>
            <w:tcBorders>
              <w:top w:val="nil"/>
              <w:left w:val="nil"/>
              <w:bottom w:val="single" w:color="auto" w:sz="4" w:space="0"/>
              <w:right w:val="single" w:color="auto" w:sz="4" w:space="0"/>
            </w:tcBorders>
            <w:shd w:val="clear" w:color="auto" w:fill="auto"/>
            <w:vAlign w:val="center"/>
          </w:tcPr>
          <w:p>
            <w:pPr>
              <w:spacing w:line="480" w:lineRule="exact"/>
              <w:jc w:val="center"/>
              <w:rPr>
                <w:rFonts w:ascii="仿宋" w:hAnsi="仿宋" w:eastAsia="仿宋"/>
                <w:sz w:val="28"/>
                <w:szCs w:val="28"/>
              </w:rPr>
            </w:pPr>
            <w:r>
              <w:rPr>
                <w:rFonts w:hint="eastAsia" w:ascii="仿宋" w:hAnsi="仿宋" w:eastAsia="仿宋"/>
                <w:sz w:val="28"/>
                <w:szCs w:val="28"/>
              </w:rPr>
              <w:t>100%</w:t>
            </w:r>
          </w:p>
        </w:tc>
        <w:tc>
          <w:tcPr>
            <w:tcW w:w="2126" w:type="dxa"/>
            <w:tcBorders>
              <w:top w:val="nil"/>
              <w:left w:val="nil"/>
              <w:bottom w:val="single" w:color="auto" w:sz="4" w:space="0"/>
              <w:right w:val="single" w:color="auto" w:sz="4" w:space="0"/>
            </w:tcBorders>
            <w:shd w:val="clear" w:color="auto" w:fill="auto"/>
            <w:vAlign w:val="center"/>
          </w:tcPr>
          <w:p>
            <w:pPr>
              <w:spacing w:line="480" w:lineRule="exact"/>
              <w:jc w:val="center"/>
              <w:rPr>
                <w:rFonts w:ascii="仿宋" w:hAnsi="仿宋" w:eastAsia="仿宋"/>
                <w:sz w:val="28"/>
                <w:szCs w:val="28"/>
              </w:rPr>
            </w:pPr>
            <w:r>
              <w:rPr>
                <w:rFonts w:hint="eastAsia" w:ascii="仿宋" w:hAnsi="仿宋" w:eastAsia="仿宋"/>
                <w:sz w:val="28"/>
                <w:szCs w:val="28"/>
              </w:rPr>
              <w:t>10049</w:t>
            </w:r>
          </w:p>
        </w:tc>
        <w:tc>
          <w:tcPr>
            <w:tcW w:w="1527" w:type="dxa"/>
            <w:tcBorders>
              <w:top w:val="nil"/>
              <w:left w:val="nil"/>
              <w:bottom w:val="single" w:color="auto" w:sz="4" w:space="0"/>
              <w:right w:val="single" w:color="auto" w:sz="4" w:space="0"/>
            </w:tcBorders>
            <w:shd w:val="clear" w:color="auto" w:fill="auto"/>
            <w:vAlign w:val="center"/>
          </w:tcPr>
          <w:p>
            <w:pPr>
              <w:spacing w:line="480" w:lineRule="exact"/>
              <w:jc w:val="center"/>
              <w:rPr>
                <w:rFonts w:ascii="仿宋" w:hAnsi="仿宋" w:eastAsia="仿宋"/>
                <w:sz w:val="28"/>
                <w:szCs w:val="28"/>
              </w:rPr>
            </w:pPr>
            <w:r>
              <w:rPr>
                <w:rFonts w:hint="eastAsia" w:ascii="仿宋" w:hAnsi="仿宋" w:eastAsia="仿宋"/>
                <w:sz w:val="28"/>
                <w:szCs w:val="28"/>
              </w:rPr>
              <w:t>100%</w:t>
            </w:r>
          </w:p>
        </w:tc>
      </w:tr>
    </w:tbl>
    <w:p>
      <w:pPr>
        <w:spacing w:line="480" w:lineRule="exact"/>
        <w:jc w:val="left"/>
        <w:rPr>
          <w:rFonts w:ascii="仿宋" w:hAnsi="仿宋" w:eastAsia="仿宋"/>
          <w:sz w:val="24"/>
          <w:szCs w:val="24"/>
        </w:rPr>
      </w:pPr>
      <w:r>
        <w:rPr>
          <w:rFonts w:ascii="仿宋" w:hAnsi="仿宋" w:eastAsia="仿宋"/>
          <w:sz w:val="24"/>
          <w:szCs w:val="24"/>
        </w:rPr>
        <w:t>说明</w:t>
      </w:r>
      <w:r>
        <w:rPr>
          <w:rFonts w:hint="eastAsia" w:ascii="仿宋" w:hAnsi="仿宋" w:eastAsia="仿宋"/>
          <w:sz w:val="24"/>
          <w:szCs w:val="24"/>
        </w:rPr>
        <w:t>：按学科门类测算</w:t>
      </w:r>
      <w:r>
        <w:rPr>
          <w:rFonts w:ascii="仿宋" w:hAnsi="仿宋" w:eastAsia="仿宋"/>
          <w:sz w:val="24"/>
          <w:szCs w:val="24"/>
        </w:rPr>
        <w:t>学生总数不包括高职学院学生数</w:t>
      </w:r>
    </w:p>
    <w:p>
      <w:pPr>
        <w:spacing w:line="480" w:lineRule="exact"/>
        <w:jc w:val="left"/>
        <w:rPr>
          <w:rFonts w:ascii="仿宋" w:hAnsi="仿宋" w:eastAsia="仿宋"/>
          <w:sz w:val="24"/>
          <w:szCs w:val="24"/>
        </w:rPr>
      </w:pPr>
    </w:p>
    <w:p>
      <w:pPr>
        <w:spacing w:line="480" w:lineRule="exact"/>
        <w:jc w:val="center"/>
        <w:rPr>
          <w:rFonts w:ascii="仿宋" w:hAnsi="仿宋" w:eastAsia="仿宋"/>
          <w:b/>
          <w:bCs/>
          <w:sz w:val="28"/>
          <w:szCs w:val="28"/>
        </w:rPr>
      </w:pPr>
      <w:r>
        <w:rPr>
          <w:rFonts w:hint="eastAsia" w:ascii="仿宋" w:hAnsi="仿宋" w:eastAsia="仿宋"/>
          <w:b/>
          <w:bCs/>
          <w:sz w:val="28"/>
          <w:szCs w:val="28"/>
        </w:rPr>
        <w:t>表3  2020年各二级学院学生人数</w:t>
      </w:r>
      <w:r>
        <w:rPr>
          <w:rFonts w:ascii="仿宋" w:hAnsi="仿宋" w:eastAsia="仿宋"/>
          <w:b/>
          <w:bCs/>
          <w:sz w:val="28"/>
          <w:szCs w:val="28"/>
        </w:rPr>
        <w:t>测算</w:t>
      </w:r>
    </w:p>
    <w:tbl>
      <w:tblPr>
        <w:tblStyle w:val="8"/>
        <w:tblW w:w="9214" w:type="dxa"/>
        <w:tblInd w:w="-147" w:type="dxa"/>
        <w:tblLayout w:type="fixed"/>
        <w:tblCellMar>
          <w:top w:w="0" w:type="dxa"/>
          <w:left w:w="108" w:type="dxa"/>
          <w:bottom w:w="0" w:type="dxa"/>
          <w:right w:w="108" w:type="dxa"/>
        </w:tblCellMar>
      </w:tblPr>
      <w:tblGrid>
        <w:gridCol w:w="3544"/>
        <w:gridCol w:w="2977"/>
        <w:gridCol w:w="2693"/>
      </w:tblGrid>
      <w:tr>
        <w:tblPrEx>
          <w:tblLayout w:type="fixed"/>
          <w:tblCellMar>
            <w:top w:w="0" w:type="dxa"/>
            <w:left w:w="108" w:type="dxa"/>
            <w:bottom w:w="0" w:type="dxa"/>
            <w:right w:w="108" w:type="dxa"/>
          </w:tblCellMar>
        </w:tblPrEx>
        <w:trPr>
          <w:trHeight w:val="440" w:hRule="atLeast"/>
        </w:trPr>
        <w:tc>
          <w:tcPr>
            <w:tcW w:w="354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480" w:lineRule="exact"/>
              <w:jc w:val="center"/>
              <w:rPr>
                <w:rFonts w:ascii="仿宋" w:hAnsi="仿宋" w:eastAsia="仿宋"/>
                <w:sz w:val="28"/>
                <w:szCs w:val="28"/>
              </w:rPr>
            </w:pPr>
            <w:r>
              <w:rPr>
                <w:rFonts w:hint="eastAsia" w:ascii="仿宋" w:hAnsi="仿宋" w:eastAsia="仿宋"/>
                <w:sz w:val="28"/>
                <w:szCs w:val="28"/>
              </w:rPr>
              <w:t>二级学院</w:t>
            </w:r>
          </w:p>
        </w:tc>
        <w:tc>
          <w:tcPr>
            <w:tcW w:w="2977" w:type="dxa"/>
            <w:tcBorders>
              <w:top w:val="single" w:color="auto" w:sz="4" w:space="0"/>
              <w:left w:val="nil"/>
              <w:bottom w:val="single" w:color="auto" w:sz="4" w:space="0"/>
              <w:right w:val="single" w:color="auto" w:sz="4" w:space="0"/>
            </w:tcBorders>
            <w:shd w:val="clear" w:color="auto" w:fill="FFFFFF" w:themeFill="background1"/>
            <w:vAlign w:val="center"/>
          </w:tcPr>
          <w:p>
            <w:pPr>
              <w:spacing w:line="480" w:lineRule="exact"/>
              <w:jc w:val="center"/>
              <w:rPr>
                <w:rFonts w:ascii="仿宋" w:hAnsi="仿宋" w:eastAsia="仿宋"/>
                <w:sz w:val="28"/>
                <w:szCs w:val="28"/>
              </w:rPr>
            </w:pPr>
            <w:r>
              <w:rPr>
                <w:rFonts w:hint="eastAsia" w:ascii="仿宋" w:hAnsi="仿宋" w:eastAsia="仿宋"/>
                <w:sz w:val="28"/>
                <w:szCs w:val="28"/>
              </w:rPr>
              <w:t>2017年学生数</w:t>
            </w:r>
          </w:p>
        </w:tc>
        <w:tc>
          <w:tcPr>
            <w:tcW w:w="2693" w:type="dxa"/>
            <w:tcBorders>
              <w:top w:val="single" w:color="auto" w:sz="4" w:space="0"/>
              <w:left w:val="nil"/>
              <w:bottom w:val="single" w:color="auto" w:sz="4" w:space="0"/>
              <w:right w:val="single" w:color="auto" w:sz="4" w:space="0"/>
            </w:tcBorders>
            <w:shd w:val="clear" w:color="auto" w:fill="FFFFFF" w:themeFill="background1"/>
            <w:vAlign w:val="center"/>
          </w:tcPr>
          <w:p>
            <w:pPr>
              <w:spacing w:line="480" w:lineRule="exact"/>
              <w:jc w:val="center"/>
              <w:rPr>
                <w:rFonts w:ascii="仿宋" w:hAnsi="仿宋" w:eastAsia="仿宋"/>
                <w:sz w:val="28"/>
                <w:szCs w:val="28"/>
              </w:rPr>
            </w:pPr>
            <w:r>
              <w:rPr>
                <w:rFonts w:hint="eastAsia" w:ascii="仿宋" w:hAnsi="仿宋" w:eastAsia="仿宋"/>
                <w:sz w:val="28"/>
                <w:szCs w:val="28"/>
              </w:rPr>
              <w:t>2020年学生数</w:t>
            </w:r>
          </w:p>
        </w:tc>
      </w:tr>
      <w:tr>
        <w:tblPrEx>
          <w:tblLayout w:type="fixed"/>
          <w:tblCellMar>
            <w:top w:w="0" w:type="dxa"/>
            <w:left w:w="108" w:type="dxa"/>
            <w:bottom w:w="0" w:type="dxa"/>
            <w:right w:w="108" w:type="dxa"/>
          </w:tblCellMar>
        </w:tblPrEx>
        <w:trPr>
          <w:trHeight w:val="440" w:hRule="atLeast"/>
        </w:trPr>
        <w:tc>
          <w:tcPr>
            <w:tcW w:w="3544" w:type="dxa"/>
            <w:tcBorders>
              <w:top w:val="nil"/>
              <w:left w:val="single" w:color="auto" w:sz="4" w:space="0"/>
              <w:bottom w:val="single" w:color="auto" w:sz="4" w:space="0"/>
              <w:right w:val="single" w:color="auto" w:sz="4" w:space="0"/>
            </w:tcBorders>
            <w:shd w:val="clear" w:color="auto" w:fill="FFFFFF" w:themeFill="background1"/>
            <w:vAlign w:val="center"/>
          </w:tcPr>
          <w:p>
            <w:pPr>
              <w:spacing w:line="480" w:lineRule="exact"/>
              <w:jc w:val="center"/>
              <w:rPr>
                <w:rFonts w:ascii="仿宋" w:hAnsi="仿宋" w:eastAsia="仿宋"/>
                <w:sz w:val="28"/>
                <w:szCs w:val="28"/>
              </w:rPr>
            </w:pPr>
            <w:r>
              <w:rPr>
                <w:rFonts w:hint="eastAsia" w:ascii="仿宋" w:hAnsi="仿宋" w:eastAsia="仿宋"/>
                <w:sz w:val="28"/>
                <w:szCs w:val="28"/>
              </w:rPr>
              <w:t>电气学院</w:t>
            </w:r>
          </w:p>
        </w:tc>
        <w:tc>
          <w:tcPr>
            <w:tcW w:w="2977" w:type="dxa"/>
            <w:tcBorders>
              <w:top w:val="nil"/>
              <w:left w:val="nil"/>
              <w:bottom w:val="single" w:color="auto" w:sz="4" w:space="0"/>
              <w:right w:val="single" w:color="auto" w:sz="4" w:space="0"/>
            </w:tcBorders>
            <w:shd w:val="clear" w:color="auto" w:fill="FFFFFF" w:themeFill="background1"/>
            <w:vAlign w:val="center"/>
          </w:tcPr>
          <w:p>
            <w:pPr>
              <w:spacing w:line="480" w:lineRule="exact"/>
              <w:jc w:val="center"/>
              <w:rPr>
                <w:rFonts w:ascii="仿宋" w:hAnsi="仿宋" w:eastAsia="仿宋"/>
                <w:sz w:val="28"/>
                <w:szCs w:val="28"/>
              </w:rPr>
            </w:pPr>
            <w:r>
              <w:rPr>
                <w:rFonts w:hint="eastAsia" w:ascii="仿宋" w:hAnsi="仿宋" w:eastAsia="仿宋"/>
                <w:sz w:val="28"/>
                <w:szCs w:val="28"/>
              </w:rPr>
              <w:t>1866</w:t>
            </w:r>
          </w:p>
        </w:tc>
        <w:tc>
          <w:tcPr>
            <w:tcW w:w="2693" w:type="dxa"/>
            <w:tcBorders>
              <w:top w:val="nil"/>
              <w:left w:val="nil"/>
              <w:bottom w:val="single" w:color="auto" w:sz="4" w:space="0"/>
              <w:right w:val="single" w:color="auto" w:sz="4" w:space="0"/>
            </w:tcBorders>
            <w:shd w:val="clear" w:color="auto" w:fill="FFFFFF" w:themeFill="background1"/>
            <w:vAlign w:val="center"/>
          </w:tcPr>
          <w:p>
            <w:pPr>
              <w:spacing w:line="480" w:lineRule="exact"/>
              <w:jc w:val="center"/>
              <w:rPr>
                <w:rFonts w:ascii="仿宋" w:hAnsi="仿宋" w:eastAsia="仿宋"/>
                <w:sz w:val="28"/>
                <w:szCs w:val="28"/>
              </w:rPr>
            </w:pPr>
            <w:r>
              <w:rPr>
                <w:rFonts w:hint="eastAsia" w:ascii="仿宋" w:hAnsi="仿宋" w:eastAsia="仿宋"/>
                <w:sz w:val="28"/>
                <w:szCs w:val="28"/>
              </w:rPr>
              <w:t>1612</w:t>
            </w:r>
          </w:p>
        </w:tc>
      </w:tr>
      <w:tr>
        <w:tblPrEx>
          <w:tblLayout w:type="fixed"/>
          <w:tblCellMar>
            <w:top w:w="0" w:type="dxa"/>
            <w:left w:w="108" w:type="dxa"/>
            <w:bottom w:w="0" w:type="dxa"/>
            <w:right w:w="108" w:type="dxa"/>
          </w:tblCellMar>
        </w:tblPrEx>
        <w:trPr>
          <w:trHeight w:val="440" w:hRule="atLeast"/>
        </w:trPr>
        <w:tc>
          <w:tcPr>
            <w:tcW w:w="3544" w:type="dxa"/>
            <w:tcBorders>
              <w:top w:val="nil"/>
              <w:left w:val="single" w:color="auto" w:sz="4" w:space="0"/>
              <w:bottom w:val="single" w:color="auto" w:sz="4" w:space="0"/>
              <w:right w:val="single" w:color="auto" w:sz="4" w:space="0"/>
            </w:tcBorders>
            <w:shd w:val="clear" w:color="auto" w:fill="FFFFFF" w:themeFill="background1"/>
            <w:vAlign w:val="center"/>
          </w:tcPr>
          <w:p>
            <w:pPr>
              <w:spacing w:line="480" w:lineRule="exact"/>
              <w:jc w:val="center"/>
              <w:rPr>
                <w:rFonts w:ascii="仿宋" w:hAnsi="仿宋" w:eastAsia="仿宋"/>
                <w:sz w:val="28"/>
                <w:szCs w:val="28"/>
              </w:rPr>
            </w:pPr>
            <w:r>
              <w:rPr>
                <w:rFonts w:hint="eastAsia" w:ascii="仿宋" w:hAnsi="仿宋" w:eastAsia="仿宋"/>
                <w:sz w:val="28"/>
                <w:szCs w:val="28"/>
              </w:rPr>
              <w:t>机械学院</w:t>
            </w:r>
          </w:p>
        </w:tc>
        <w:tc>
          <w:tcPr>
            <w:tcW w:w="2977" w:type="dxa"/>
            <w:tcBorders>
              <w:top w:val="nil"/>
              <w:left w:val="nil"/>
              <w:bottom w:val="single" w:color="auto" w:sz="4" w:space="0"/>
              <w:right w:val="single" w:color="auto" w:sz="4" w:space="0"/>
            </w:tcBorders>
            <w:shd w:val="clear" w:color="auto" w:fill="FFFFFF" w:themeFill="background1"/>
            <w:vAlign w:val="center"/>
          </w:tcPr>
          <w:p>
            <w:pPr>
              <w:spacing w:line="480" w:lineRule="exact"/>
              <w:jc w:val="center"/>
              <w:rPr>
                <w:rFonts w:ascii="仿宋" w:hAnsi="仿宋" w:eastAsia="仿宋"/>
                <w:sz w:val="28"/>
                <w:szCs w:val="28"/>
              </w:rPr>
            </w:pPr>
            <w:r>
              <w:rPr>
                <w:rFonts w:hint="eastAsia" w:ascii="仿宋" w:hAnsi="仿宋" w:eastAsia="仿宋"/>
                <w:sz w:val="28"/>
                <w:szCs w:val="28"/>
              </w:rPr>
              <w:t>1982</w:t>
            </w:r>
          </w:p>
        </w:tc>
        <w:tc>
          <w:tcPr>
            <w:tcW w:w="2693" w:type="dxa"/>
            <w:tcBorders>
              <w:top w:val="nil"/>
              <w:left w:val="nil"/>
              <w:bottom w:val="single" w:color="auto" w:sz="4" w:space="0"/>
              <w:right w:val="single" w:color="auto" w:sz="4" w:space="0"/>
            </w:tcBorders>
            <w:shd w:val="clear" w:color="auto" w:fill="FFFFFF" w:themeFill="background1"/>
            <w:vAlign w:val="center"/>
          </w:tcPr>
          <w:p>
            <w:pPr>
              <w:spacing w:line="480" w:lineRule="exact"/>
              <w:jc w:val="center"/>
              <w:rPr>
                <w:rFonts w:ascii="仿宋" w:hAnsi="仿宋" w:eastAsia="仿宋"/>
                <w:sz w:val="28"/>
                <w:szCs w:val="28"/>
              </w:rPr>
            </w:pPr>
            <w:r>
              <w:rPr>
                <w:rFonts w:hint="eastAsia" w:ascii="仿宋" w:hAnsi="仿宋" w:eastAsia="仿宋"/>
                <w:sz w:val="28"/>
                <w:szCs w:val="28"/>
              </w:rPr>
              <w:t>1478</w:t>
            </w:r>
          </w:p>
        </w:tc>
      </w:tr>
      <w:tr>
        <w:tblPrEx>
          <w:tblLayout w:type="fixed"/>
          <w:tblCellMar>
            <w:top w:w="0" w:type="dxa"/>
            <w:left w:w="108" w:type="dxa"/>
            <w:bottom w:w="0" w:type="dxa"/>
            <w:right w:w="108" w:type="dxa"/>
          </w:tblCellMar>
        </w:tblPrEx>
        <w:trPr>
          <w:trHeight w:val="440" w:hRule="atLeast"/>
        </w:trPr>
        <w:tc>
          <w:tcPr>
            <w:tcW w:w="3544" w:type="dxa"/>
            <w:tcBorders>
              <w:top w:val="nil"/>
              <w:left w:val="single" w:color="auto" w:sz="4" w:space="0"/>
              <w:bottom w:val="single" w:color="auto" w:sz="4" w:space="0"/>
              <w:right w:val="single" w:color="auto" w:sz="4" w:space="0"/>
            </w:tcBorders>
            <w:shd w:val="clear" w:color="auto" w:fill="FFFFFF" w:themeFill="background1"/>
            <w:vAlign w:val="center"/>
          </w:tcPr>
          <w:p>
            <w:pPr>
              <w:spacing w:line="480" w:lineRule="exact"/>
              <w:jc w:val="center"/>
              <w:rPr>
                <w:rFonts w:ascii="仿宋" w:hAnsi="仿宋" w:eastAsia="仿宋"/>
                <w:sz w:val="28"/>
                <w:szCs w:val="28"/>
              </w:rPr>
            </w:pPr>
            <w:r>
              <w:rPr>
                <w:rFonts w:hint="eastAsia" w:ascii="仿宋" w:hAnsi="仿宋" w:eastAsia="仿宋"/>
                <w:sz w:val="28"/>
                <w:szCs w:val="28"/>
              </w:rPr>
              <w:t>材料学院</w:t>
            </w:r>
          </w:p>
        </w:tc>
        <w:tc>
          <w:tcPr>
            <w:tcW w:w="2977" w:type="dxa"/>
            <w:tcBorders>
              <w:top w:val="nil"/>
              <w:left w:val="nil"/>
              <w:bottom w:val="single" w:color="auto" w:sz="4" w:space="0"/>
              <w:right w:val="single" w:color="auto" w:sz="4" w:space="0"/>
            </w:tcBorders>
            <w:shd w:val="clear" w:color="auto" w:fill="FFFFFF" w:themeFill="background1"/>
            <w:vAlign w:val="center"/>
          </w:tcPr>
          <w:p>
            <w:pPr>
              <w:spacing w:line="480" w:lineRule="exact"/>
              <w:jc w:val="center"/>
              <w:rPr>
                <w:rFonts w:ascii="仿宋" w:hAnsi="仿宋" w:eastAsia="仿宋"/>
                <w:sz w:val="28"/>
                <w:szCs w:val="28"/>
              </w:rPr>
            </w:pPr>
            <w:r>
              <w:rPr>
                <w:rFonts w:hint="eastAsia" w:ascii="仿宋" w:hAnsi="仿宋" w:eastAsia="仿宋"/>
                <w:sz w:val="28"/>
                <w:szCs w:val="28"/>
              </w:rPr>
              <w:t>494</w:t>
            </w:r>
          </w:p>
        </w:tc>
        <w:tc>
          <w:tcPr>
            <w:tcW w:w="2693" w:type="dxa"/>
            <w:tcBorders>
              <w:top w:val="nil"/>
              <w:left w:val="nil"/>
              <w:bottom w:val="single" w:color="auto" w:sz="4" w:space="0"/>
              <w:right w:val="single" w:color="auto" w:sz="4" w:space="0"/>
            </w:tcBorders>
            <w:shd w:val="clear" w:color="auto" w:fill="FFFFFF" w:themeFill="background1"/>
            <w:vAlign w:val="center"/>
          </w:tcPr>
          <w:p>
            <w:pPr>
              <w:spacing w:line="480" w:lineRule="exact"/>
              <w:jc w:val="center"/>
              <w:rPr>
                <w:rFonts w:ascii="仿宋" w:hAnsi="仿宋" w:eastAsia="仿宋"/>
                <w:sz w:val="28"/>
                <w:szCs w:val="28"/>
              </w:rPr>
            </w:pPr>
            <w:r>
              <w:rPr>
                <w:rFonts w:hint="eastAsia" w:ascii="仿宋" w:hAnsi="仿宋" w:eastAsia="仿宋"/>
                <w:sz w:val="28"/>
                <w:szCs w:val="28"/>
              </w:rPr>
              <w:t>606</w:t>
            </w:r>
          </w:p>
        </w:tc>
      </w:tr>
      <w:tr>
        <w:tblPrEx>
          <w:tblLayout w:type="fixed"/>
          <w:tblCellMar>
            <w:top w:w="0" w:type="dxa"/>
            <w:left w:w="108" w:type="dxa"/>
            <w:bottom w:w="0" w:type="dxa"/>
            <w:right w:w="108" w:type="dxa"/>
          </w:tblCellMar>
        </w:tblPrEx>
        <w:trPr>
          <w:trHeight w:val="440" w:hRule="atLeast"/>
        </w:trPr>
        <w:tc>
          <w:tcPr>
            <w:tcW w:w="3544" w:type="dxa"/>
            <w:tcBorders>
              <w:top w:val="nil"/>
              <w:left w:val="single" w:color="auto" w:sz="4" w:space="0"/>
              <w:bottom w:val="single" w:color="auto" w:sz="4" w:space="0"/>
              <w:right w:val="single" w:color="auto" w:sz="4" w:space="0"/>
            </w:tcBorders>
            <w:shd w:val="clear" w:color="auto" w:fill="FFFFFF" w:themeFill="background1"/>
            <w:vAlign w:val="center"/>
          </w:tcPr>
          <w:p>
            <w:pPr>
              <w:spacing w:line="480" w:lineRule="exact"/>
              <w:jc w:val="center"/>
              <w:rPr>
                <w:rFonts w:ascii="仿宋" w:hAnsi="仿宋" w:eastAsia="仿宋"/>
                <w:sz w:val="28"/>
                <w:szCs w:val="28"/>
              </w:rPr>
            </w:pPr>
            <w:r>
              <w:rPr>
                <w:rFonts w:hint="eastAsia" w:ascii="仿宋" w:hAnsi="仿宋" w:eastAsia="仿宋"/>
                <w:sz w:val="28"/>
                <w:szCs w:val="28"/>
              </w:rPr>
              <w:t>电子信息学院</w:t>
            </w:r>
          </w:p>
        </w:tc>
        <w:tc>
          <w:tcPr>
            <w:tcW w:w="2977" w:type="dxa"/>
            <w:tcBorders>
              <w:top w:val="nil"/>
              <w:left w:val="nil"/>
              <w:bottom w:val="single" w:color="auto" w:sz="4" w:space="0"/>
              <w:right w:val="single" w:color="auto" w:sz="4" w:space="0"/>
            </w:tcBorders>
            <w:shd w:val="clear" w:color="auto" w:fill="FFFFFF" w:themeFill="background1"/>
            <w:vAlign w:val="center"/>
          </w:tcPr>
          <w:p>
            <w:pPr>
              <w:spacing w:line="480" w:lineRule="exact"/>
              <w:jc w:val="center"/>
              <w:rPr>
                <w:rFonts w:ascii="仿宋" w:hAnsi="仿宋" w:eastAsia="仿宋"/>
                <w:sz w:val="28"/>
                <w:szCs w:val="28"/>
              </w:rPr>
            </w:pPr>
            <w:r>
              <w:rPr>
                <w:rFonts w:hint="eastAsia" w:ascii="仿宋" w:hAnsi="仿宋" w:eastAsia="仿宋"/>
                <w:sz w:val="28"/>
                <w:szCs w:val="28"/>
              </w:rPr>
              <w:t>2013</w:t>
            </w:r>
          </w:p>
        </w:tc>
        <w:tc>
          <w:tcPr>
            <w:tcW w:w="2693" w:type="dxa"/>
            <w:tcBorders>
              <w:top w:val="nil"/>
              <w:left w:val="nil"/>
              <w:bottom w:val="single" w:color="auto" w:sz="4" w:space="0"/>
              <w:right w:val="single" w:color="auto" w:sz="4" w:space="0"/>
            </w:tcBorders>
            <w:shd w:val="clear" w:color="auto" w:fill="FFFFFF" w:themeFill="background1"/>
            <w:vAlign w:val="center"/>
          </w:tcPr>
          <w:p>
            <w:pPr>
              <w:spacing w:line="480" w:lineRule="exact"/>
              <w:jc w:val="center"/>
              <w:rPr>
                <w:rFonts w:ascii="仿宋" w:hAnsi="仿宋" w:eastAsia="仿宋"/>
                <w:sz w:val="28"/>
                <w:szCs w:val="28"/>
              </w:rPr>
            </w:pPr>
            <w:r>
              <w:rPr>
                <w:rFonts w:hint="eastAsia" w:ascii="仿宋" w:hAnsi="仿宋" w:eastAsia="仿宋"/>
                <w:sz w:val="28"/>
                <w:szCs w:val="28"/>
              </w:rPr>
              <w:t>1909</w:t>
            </w:r>
          </w:p>
        </w:tc>
      </w:tr>
      <w:tr>
        <w:tblPrEx>
          <w:tblLayout w:type="fixed"/>
          <w:tblCellMar>
            <w:top w:w="0" w:type="dxa"/>
            <w:left w:w="108" w:type="dxa"/>
            <w:bottom w:w="0" w:type="dxa"/>
            <w:right w:w="108" w:type="dxa"/>
          </w:tblCellMar>
        </w:tblPrEx>
        <w:trPr>
          <w:trHeight w:val="440" w:hRule="atLeast"/>
        </w:trPr>
        <w:tc>
          <w:tcPr>
            <w:tcW w:w="3544" w:type="dxa"/>
            <w:tcBorders>
              <w:top w:val="nil"/>
              <w:left w:val="single" w:color="auto" w:sz="4" w:space="0"/>
              <w:bottom w:val="single" w:color="auto" w:sz="4" w:space="0"/>
              <w:right w:val="single" w:color="auto" w:sz="4" w:space="0"/>
            </w:tcBorders>
            <w:shd w:val="clear" w:color="auto" w:fill="FFFFFF" w:themeFill="background1"/>
            <w:vAlign w:val="center"/>
          </w:tcPr>
          <w:p>
            <w:pPr>
              <w:spacing w:line="480" w:lineRule="exact"/>
              <w:jc w:val="center"/>
              <w:rPr>
                <w:rFonts w:ascii="仿宋" w:hAnsi="仿宋" w:eastAsia="仿宋"/>
                <w:sz w:val="28"/>
                <w:szCs w:val="28"/>
              </w:rPr>
            </w:pPr>
            <w:r>
              <w:rPr>
                <w:rFonts w:hint="eastAsia" w:ascii="仿宋" w:hAnsi="仿宋" w:eastAsia="仿宋"/>
                <w:sz w:val="28"/>
                <w:szCs w:val="28"/>
              </w:rPr>
              <w:t>商学院</w:t>
            </w:r>
          </w:p>
        </w:tc>
        <w:tc>
          <w:tcPr>
            <w:tcW w:w="2977" w:type="dxa"/>
            <w:tcBorders>
              <w:top w:val="nil"/>
              <w:left w:val="nil"/>
              <w:bottom w:val="single" w:color="auto" w:sz="4" w:space="0"/>
              <w:right w:val="single" w:color="auto" w:sz="4" w:space="0"/>
            </w:tcBorders>
            <w:shd w:val="clear" w:color="auto" w:fill="FFFFFF" w:themeFill="background1"/>
            <w:vAlign w:val="center"/>
          </w:tcPr>
          <w:p>
            <w:pPr>
              <w:spacing w:line="480" w:lineRule="exact"/>
              <w:jc w:val="center"/>
              <w:rPr>
                <w:rFonts w:ascii="仿宋" w:hAnsi="仿宋" w:eastAsia="仿宋"/>
                <w:sz w:val="28"/>
                <w:szCs w:val="28"/>
              </w:rPr>
            </w:pPr>
            <w:r>
              <w:rPr>
                <w:rFonts w:hint="eastAsia" w:ascii="仿宋" w:hAnsi="仿宋" w:eastAsia="仿宋"/>
                <w:sz w:val="28"/>
                <w:szCs w:val="28"/>
              </w:rPr>
              <w:t>2526</w:t>
            </w:r>
          </w:p>
        </w:tc>
        <w:tc>
          <w:tcPr>
            <w:tcW w:w="2693" w:type="dxa"/>
            <w:tcBorders>
              <w:top w:val="nil"/>
              <w:left w:val="nil"/>
              <w:bottom w:val="single" w:color="auto" w:sz="4" w:space="0"/>
              <w:right w:val="single" w:color="auto" w:sz="4" w:space="0"/>
            </w:tcBorders>
            <w:shd w:val="clear" w:color="auto" w:fill="FFFFFF" w:themeFill="background1"/>
            <w:vAlign w:val="center"/>
          </w:tcPr>
          <w:p>
            <w:pPr>
              <w:spacing w:line="480" w:lineRule="exact"/>
              <w:jc w:val="center"/>
              <w:rPr>
                <w:rFonts w:ascii="仿宋" w:hAnsi="仿宋" w:eastAsia="仿宋"/>
                <w:sz w:val="28"/>
                <w:szCs w:val="28"/>
              </w:rPr>
            </w:pPr>
            <w:r>
              <w:rPr>
                <w:rFonts w:hint="eastAsia" w:ascii="仿宋" w:hAnsi="仿宋" w:eastAsia="仿宋"/>
                <w:sz w:val="28"/>
                <w:szCs w:val="28"/>
              </w:rPr>
              <w:t>2947</w:t>
            </w:r>
          </w:p>
        </w:tc>
      </w:tr>
      <w:tr>
        <w:tblPrEx>
          <w:tblLayout w:type="fixed"/>
          <w:tblCellMar>
            <w:top w:w="0" w:type="dxa"/>
            <w:left w:w="108" w:type="dxa"/>
            <w:bottom w:w="0" w:type="dxa"/>
            <w:right w:w="108" w:type="dxa"/>
          </w:tblCellMar>
        </w:tblPrEx>
        <w:trPr>
          <w:trHeight w:val="440" w:hRule="atLeast"/>
        </w:trPr>
        <w:tc>
          <w:tcPr>
            <w:tcW w:w="3544" w:type="dxa"/>
            <w:tcBorders>
              <w:top w:val="nil"/>
              <w:left w:val="single" w:color="auto" w:sz="4" w:space="0"/>
              <w:bottom w:val="single" w:color="auto" w:sz="4" w:space="0"/>
              <w:right w:val="single" w:color="auto" w:sz="4" w:space="0"/>
            </w:tcBorders>
            <w:shd w:val="clear" w:color="auto" w:fill="FFFFFF" w:themeFill="background1"/>
            <w:vAlign w:val="center"/>
          </w:tcPr>
          <w:p>
            <w:pPr>
              <w:spacing w:line="480" w:lineRule="exact"/>
              <w:jc w:val="center"/>
              <w:rPr>
                <w:rFonts w:ascii="仿宋" w:hAnsi="仿宋" w:eastAsia="仿宋"/>
                <w:sz w:val="28"/>
                <w:szCs w:val="28"/>
              </w:rPr>
            </w:pPr>
            <w:r>
              <w:rPr>
                <w:rFonts w:hint="eastAsia" w:ascii="仿宋" w:hAnsi="仿宋" w:eastAsia="仿宋"/>
                <w:sz w:val="28"/>
                <w:szCs w:val="28"/>
              </w:rPr>
              <w:t>外国语学院</w:t>
            </w:r>
          </w:p>
        </w:tc>
        <w:tc>
          <w:tcPr>
            <w:tcW w:w="2977" w:type="dxa"/>
            <w:tcBorders>
              <w:top w:val="nil"/>
              <w:left w:val="nil"/>
              <w:bottom w:val="single" w:color="auto" w:sz="4" w:space="0"/>
              <w:right w:val="single" w:color="auto" w:sz="4" w:space="0"/>
            </w:tcBorders>
            <w:shd w:val="clear" w:color="auto" w:fill="FFFFFF" w:themeFill="background1"/>
            <w:vAlign w:val="center"/>
          </w:tcPr>
          <w:p>
            <w:pPr>
              <w:spacing w:line="480" w:lineRule="exact"/>
              <w:jc w:val="center"/>
              <w:rPr>
                <w:rFonts w:ascii="仿宋" w:hAnsi="仿宋" w:eastAsia="仿宋"/>
                <w:sz w:val="28"/>
                <w:szCs w:val="28"/>
              </w:rPr>
            </w:pPr>
            <w:r>
              <w:rPr>
                <w:rFonts w:hint="eastAsia" w:ascii="仿宋" w:hAnsi="仿宋" w:eastAsia="仿宋"/>
                <w:sz w:val="28"/>
                <w:szCs w:val="28"/>
              </w:rPr>
              <w:t>748</w:t>
            </w:r>
          </w:p>
        </w:tc>
        <w:tc>
          <w:tcPr>
            <w:tcW w:w="2693" w:type="dxa"/>
            <w:tcBorders>
              <w:top w:val="nil"/>
              <w:left w:val="nil"/>
              <w:bottom w:val="single" w:color="auto" w:sz="4" w:space="0"/>
              <w:right w:val="single" w:color="auto" w:sz="4" w:space="0"/>
            </w:tcBorders>
            <w:shd w:val="clear" w:color="auto" w:fill="FFFFFF" w:themeFill="background1"/>
            <w:vAlign w:val="center"/>
          </w:tcPr>
          <w:p>
            <w:pPr>
              <w:spacing w:line="480" w:lineRule="exact"/>
              <w:jc w:val="center"/>
              <w:rPr>
                <w:rFonts w:ascii="仿宋" w:hAnsi="仿宋" w:eastAsia="仿宋"/>
                <w:sz w:val="28"/>
                <w:szCs w:val="28"/>
              </w:rPr>
            </w:pPr>
            <w:r>
              <w:rPr>
                <w:rFonts w:hint="eastAsia" w:ascii="仿宋" w:hAnsi="仿宋" w:eastAsia="仿宋"/>
                <w:sz w:val="28"/>
                <w:szCs w:val="28"/>
              </w:rPr>
              <w:t>658</w:t>
            </w:r>
          </w:p>
        </w:tc>
      </w:tr>
      <w:tr>
        <w:tblPrEx>
          <w:tblLayout w:type="fixed"/>
          <w:tblCellMar>
            <w:top w:w="0" w:type="dxa"/>
            <w:left w:w="108" w:type="dxa"/>
            <w:bottom w:w="0" w:type="dxa"/>
            <w:right w:w="108" w:type="dxa"/>
          </w:tblCellMar>
        </w:tblPrEx>
        <w:trPr>
          <w:trHeight w:val="440" w:hRule="atLeast"/>
        </w:trPr>
        <w:tc>
          <w:tcPr>
            <w:tcW w:w="3544" w:type="dxa"/>
            <w:tcBorders>
              <w:top w:val="nil"/>
              <w:left w:val="single" w:color="auto" w:sz="4" w:space="0"/>
              <w:bottom w:val="single" w:color="auto" w:sz="4" w:space="0"/>
              <w:right w:val="single" w:color="auto" w:sz="4" w:space="0"/>
            </w:tcBorders>
            <w:shd w:val="clear" w:color="auto" w:fill="FFFFFF" w:themeFill="background1"/>
            <w:vAlign w:val="center"/>
          </w:tcPr>
          <w:p>
            <w:pPr>
              <w:spacing w:line="480" w:lineRule="exact"/>
              <w:jc w:val="center"/>
              <w:rPr>
                <w:rFonts w:ascii="仿宋" w:hAnsi="仿宋" w:eastAsia="仿宋"/>
                <w:sz w:val="28"/>
                <w:szCs w:val="28"/>
              </w:rPr>
            </w:pPr>
            <w:r>
              <w:rPr>
                <w:rFonts w:hint="eastAsia" w:ascii="仿宋" w:hAnsi="仿宋" w:eastAsia="仿宋"/>
                <w:sz w:val="28"/>
                <w:szCs w:val="28"/>
              </w:rPr>
              <w:t>设计与艺术学院</w:t>
            </w:r>
          </w:p>
        </w:tc>
        <w:tc>
          <w:tcPr>
            <w:tcW w:w="2977" w:type="dxa"/>
            <w:tcBorders>
              <w:top w:val="nil"/>
              <w:left w:val="nil"/>
              <w:bottom w:val="single" w:color="auto" w:sz="4" w:space="0"/>
              <w:right w:val="single" w:color="auto" w:sz="4" w:space="0"/>
            </w:tcBorders>
            <w:shd w:val="clear" w:color="auto" w:fill="FFFFFF" w:themeFill="background1"/>
            <w:vAlign w:val="center"/>
          </w:tcPr>
          <w:p>
            <w:pPr>
              <w:spacing w:line="480" w:lineRule="exact"/>
              <w:jc w:val="center"/>
              <w:rPr>
                <w:rFonts w:ascii="仿宋" w:hAnsi="仿宋" w:eastAsia="仿宋"/>
                <w:sz w:val="28"/>
                <w:szCs w:val="28"/>
              </w:rPr>
            </w:pPr>
            <w:r>
              <w:rPr>
                <w:rFonts w:hint="eastAsia" w:ascii="仿宋" w:hAnsi="仿宋" w:eastAsia="仿宋"/>
                <w:sz w:val="28"/>
                <w:szCs w:val="28"/>
              </w:rPr>
              <w:t>473</w:t>
            </w:r>
          </w:p>
        </w:tc>
        <w:tc>
          <w:tcPr>
            <w:tcW w:w="2693" w:type="dxa"/>
            <w:tcBorders>
              <w:top w:val="nil"/>
              <w:left w:val="nil"/>
              <w:bottom w:val="single" w:color="auto" w:sz="4" w:space="0"/>
              <w:right w:val="single" w:color="auto" w:sz="4" w:space="0"/>
            </w:tcBorders>
            <w:shd w:val="clear" w:color="auto" w:fill="FFFFFF" w:themeFill="background1"/>
            <w:vAlign w:val="center"/>
          </w:tcPr>
          <w:p>
            <w:pPr>
              <w:spacing w:line="480" w:lineRule="exact"/>
              <w:jc w:val="center"/>
              <w:rPr>
                <w:rFonts w:ascii="仿宋" w:hAnsi="仿宋" w:eastAsia="仿宋"/>
                <w:sz w:val="28"/>
                <w:szCs w:val="28"/>
              </w:rPr>
            </w:pPr>
            <w:r>
              <w:rPr>
                <w:rFonts w:hint="eastAsia" w:ascii="仿宋" w:hAnsi="仿宋" w:eastAsia="仿宋"/>
                <w:sz w:val="28"/>
                <w:szCs w:val="28"/>
              </w:rPr>
              <w:t>603</w:t>
            </w:r>
          </w:p>
        </w:tc>
      </w:tr>
      <w:tr>
        <w:tblPrEx>
          <w:tblLayout w:type="fixed"/>
          <w:tblCellMar>
            <w:top w:w="0" w:type="dxa"/>
            <w:left w:w="108" w:type="dxa"/>
            <w:bottom w:w="0" w:type="dxa"/>
            <w:right w:w="108" w:type="dxa"/>
          </w:tblCellMar>
        </w:tblPrEx>
        <w:trPr>
          <w:trHeight w:val="440" w:hRule="atLeast"/>
        </w:trPr>
        <w:tc>
          <w:tcPr>
            <w:tcW w:w="3544" w:type="dxa"/>
            <w:tcBorders>
              <w:top w:val="nil"/>
              <w:left w:val="single" w:color="auto" w:sz="4" w:space="0"/>
              <w:bottom w:val="single" w:color="auto" w:sz="4" w:space="0"/>
              <w:right w:val="single" w:color="auto" w:sz="4" w:space="0"/>
            </w:tcBorders>
            <w:shd w:val="clear" w:color="auto" w:fill="FFFFFF" w:themeFill="background1"/>
            <w:vAlign w:val="center"/>
          </w:tcPr>
          <w:p>
            <w:pPr>
              <w:spacing w:line="480" w:lineRule="exact"/>
              <w:jc w:val="center"/>
              <w:rPr>
                <w:rFonts w:ascii="仿宋" w:hAnsi="仿宋" w:eastAsia="仿宋"/>
                <w:sz w:val="28"/>
                <w:szCs w:val="28"/>
              </w:rPr>
            </w:pPr>
            <w:r>
              <w:rPr>
                <w:rFonts w:hint="eastAsia" w:ascii="仿宋" w:hAnsi="仿宋" w:eastAsia="仿宋"/>
                <w:sz w:val="28"/>
                <w:szCs w:val="28"/>
              </w:rPr>
              <w:t>中德学院</w:t>
            </w:r>
          </w:p>
        </w:tc>
        <w:tc>
          <w:tcPr>
            <w:tcW w:w="2977" w:type="dxa"/>
            <w:tcBorders>
              <w:top w:val="nil"/>
              <w:left w:val="nil"/>
              <w:bottom w:val="single" w:color="auto" w:sz="4" w:space="0"/>
              <w:right w:val="single" w:color="auto" w:sz="4" w:space="0"/>
            </w:tcBorders>
            <w:shd w:val="clear" w:color="auto" w:fill="FFFFFF" w:themeFill="background1"/>
            <w:vAlign w:val="center"/>
          </w:tcPr>
          <w:p>
            <w:pPr>
              <w:spacing w:line="480" w:lineRule="exact"/>
              <w:jc w:val="center"/>
              <w:rPr>
                <w:rFonts w:ascii="仿宋" w:hAnsi="仿宋" w:eastAsia="仿宋"/>
                <w:sz w:val="28"/>
                <w:szCs w:val="28"/>
              </w:rPr>
            </w:pPr>
            <w:r>
              <w:rPr>
                <w:rFonts w:hint="eastAsia" w:ascii="仿宋" w:hAnsi="仿宋" w:eastAsia="仿宋"/>
                <w:sz w:val="28"/>
                <w:szCs w:val="28"/>
              </w:rPr>
              <w:t>116</w:t>
            </w:r>
          </w:p>
        </w:tc>
        <w:tc>
          <w:tcPr>
            <w:tcW w:w="2693" w:type="dxa"/>
            <w:tcBorders>
              <w:top w:val="nil"/>
              <w:left w:val="nil"/>
              <w:bottom w:val="single" w:color="auto" w:sz="4" w:space="0"/>
              <w:right w:val="single" w:color="auto" w:sz="4" w:space="0"/>
            </w:tcBorders>
            <w:shd w:val="clear" w:color="auto" w:fill="FFFFFF" w:themeFill="background1"/>
            <w:vAlign w:val="center"/>
          </w:tcPr>
          <w:p>
            <w:pPr>
              <w:spacing w:line="480" w:lineRule="exact"/>
              <w:jc w:val="center"/>
              <w:rPr>
                <w:rFonts w:ascii="仿宋" w:hAnsi="仿宋" w:eastAsia="仿宋"/>
                <w:sz w:val="28"/>
                <w:szCs w:val="28"/>
              </w:rPr>
            </w:pPr>
            <w:r>
              <w:rPr>
                <w:rFonts w:hint="eastAsia" w:ascii="仿宋" w:hAnsi="仿宋" w:eastAsia="仿宋"/>
                <w:sz w:val="28"/>
                <w:szCs w:val="28"/>
              </w:rPr>
              <w:t>236</w:t>
            </w:r>
          </w:p>
        </w:tc>
      </w:tr>
      <w:tr>
        <w:tblPrEx>
          <w:tblLayout w:type="fixed"/>
          <w:tblCellMar>
            <w:top w:w="0" w:type="dxa"/>
            <w:left w:w="108" w:type="dxa"/>
            <w:bottom w:w="0" w:type="dxa"/>
            <w:right w:w="108" w:type="dxa"/>
          </w:tblCellMar>
        </w:tblPrEx>
        <w:trPr>
          <w:trHeight w:val="440" w:hRule="atLeast"/>
        </w:trPr>
        <w:tc>
          <w:tcPr>
            <w:tcW w:w="3544" w:type="dxa"/>
            <w:tcBorders>
              <w:top w:val="nil"/>
              <w:left w:val="single" w:color="auto" w:sz="4" w:space="0"/>
              <w:bottom w:val="single" w:color="auto" w:sz="4" w:space="0"/>
              <w:right w:val="single" w:color="auto" w:sz="4" w:space="0"/>
            </w:tcBorders>
            <w:shd w:val="clear" w:color="auto" w:fill="FFFFFF" w:themeFill="background1"/>
            <w:vAlign w:val="center"/>
          </w:tcPr>
          <w:p>
            <w:pPr>
              <w:spacing w:line="480" w:lineRule="exact"/>
              <w:jc w:val="center"/>
              <w:rPr>
                <w:rFonts w:ascii="仿宋" w:hAnsi="仿宋" w:eastAsia="仿宋"/>
                <w:sz w:val="28"/>
                <w:szCs w:val="28"/>
              </w:rPr>
            </w:pPr>
            <w:r>
              <w:rPr>
                <w:rFonts w:hint="eastAsia" w:ascii="仿宋" w:hAnsi="仿宋" w:eastAsia="仿宋"/>
                <w:sz w:val="28"/>
                <w:szCs w:val="28"/>
              </w:rPr>
              <w:t>高职学院</w:t>
            </w:r>
          </w:p>
        </w:tc>
        <w:tc>
          <w:tcPr>
            <w:tcW w:w="2977" w:type="dxa"/>
            <w:tcBorders>
              <w:top w:val="nil"/>
              <w:left w:val="nil"/>
              <w:bottom w:val="single" w:color="auto" w:sz="4" w:space="0"/>
              <w:right w:val="single" w:color="auto" w:sz="4" w:space="0"/>
            </w:tcBorders>
            <w:shd w:val="clear" w:color="auto" w:fill="FFFFFF" w:themeFill="background1"/>
            <w:vAlign w:val="center"/>
          </w:tcPr>
          <w:p>
            <w:pPr>
              <w:spacing w:line="480" w:lineRule="exact"/>
              <w:jc w:val="center"/>
              <w:rPr>
                <w:rFonts w:ascii="仿宋" w:hAnsi="仿宋" w:eastAsia="仿宋"/>
                <w:sz w:val="28"/>
                <w:szCs w:val="28"/>
              </w:rPr>
            </w:pPr>
            <w:r>
              <w:rPr>
                <w:rFonts w:hint="eastAsia" w:ascii="仿宋" w:hAnsi="仿宋" w:eastAsia="仿宋"/>
                <w:sz w:val="28"/>
                <w:szCs w:val="28"/>
              </w:rPr>
              <w:t>2113</w:t>
            </w:r>
          </w:p>
        </w:tc>
        <w:tc>
          <w:tcPr>
            <w:tcW w:w="2693" w:type="dxa"/>
            <w:tcBorders>
              <w:top w:val="nil"/>
              <w:left w:val="nil"/>
              <w:bottom w:val="single" w:color="auto" w:sz="4" w:space="0"/>
              <w:right w:val="single" w:color="auto" w:sz="4" w:space="0"/>
            </w:tcBorders>
            <w:shd w:val="clear" w:color="auto" w:fill="FFFFFF" w:themeFill="background1"/>
            <w:vAlign w:val="center"/>
          </w:tcPr>
          <w:p>
            <w:pPr>
              <w:spacing w:line="480" w:lineRule="exact"/>
              <w:jc w:val="center"/>
              <w:rPr>
                <w:rFonts w:ascii="仿宋" w:hAnsi="仿宋" w:eastAsia="仿宋"/>
                <w:sz w:val="28"/>
                <w:szCs w:val="28"/>
              </w:rPr>
            </w:pPr>
            <w:r>
              <w:rPr>
                <w:rFonts w:hint="eastAsia" w:ascii="仿宋" w:hAnsi="仿宋" w:eastAsia="仿宋"/>
                <w:sz w:val="28"/>
                <w:szCs w:val="28"/>
              </w:rPr>
              <w:t>2010</w:t>
            </w:r>
          </w:p>
        </w:tc>
      </w:tr>
      <w:tr>
        <w:tblPrEx>
          <w:tblLayout w:type="fixed"/>
          <w:tblCellMar>
            <w:top w:w="0" w:type="dxa"/>
            <w:left w:w="108" w:type="dxa"/>
            <w:bottom w:w="0" w:type="dxa"/>
            <w:right w:w="108" w:type="dxa"/>
          </w:tblCellMar>
        </w:tblPrEx>
        <w:trPr>
          <w:trHeight w:val="440" w:hRule="atLeast"/>
        </w:trPr>
        <w:tc>
          <w:tcPr>
            <w:tcW w:w="3544" w:type="dxa"/>
            <w:tcBorders>
              <w:top w:val="nil"/>
              <w:left w:val="single" w:color="auto" w:sz="4" w:space="0"/>
              <w:bottom w:val="single" w:color="auto" w:sz="4" w:space="0"/>
              <w:right w:val="single" w:color="auto" w:sz="4" w:space="0"/>
            </w:tcBorders>
            <w:shd w:val="clear" w:color="auto" w:fill="FFFFFF" w:themeFill="background1"/>
            <w:vAlign w:val="center"/>
          </w:tcPr>
          <w:p>
            <w:pPr>
              <w:spacing w:line="480" w:lineRule="exact"/>
              <w:jc w:val="center"/>
              <w:rPr>
                <w:rFonts w:ascii="仿宋" w:hAnsi="仿宋" w:eastAsia="仿宋"/>
                <w:sz w:val="28"/>
                <w:szCs w:val="28"/>
              </w:rPr>
            </w:pPr>
            <w:r>
              <w:rPr>
                <w:rFonts w:hint="eastAsia" w:ascii="仿宋" w:hAnsi="仿宋" w:eastAsia="仿宋"/>
                <w:sz w:val="28"/>
                <w:szCs w:val="28"/>
              </w:rPr>
              <w:t>总计</w:t>
            </w:r>
          </w:p>
        </w:tc>
        <w:tc>
          <w:tcPr>
            <w:tcW w:w="2977" w:type="dxa"/>
            <w:tcBorders>
              <w:top w:val="nil"/>
              <w:left w:val="nil"/>
              <w:bottom w:val="single" w:color="auto" w:sz="4" w:space="0"/>
              <w:right w:val="single" w:color="auto" w:sz="4" w:space="0"/>
            </w:tcBorders>
            <w:shd w:val="clear" w:color="auto" w:fill="FFFFFF" w:themeFill="background1"/>
            <w:vAlign w:val="center"/>
          </w:tcPr>
          <w:p>
            <w:pPr>
              <w:spacing w:line="480" w:lineRule="exact"/>
              <w:jc w:val="center"/>
              <w:rPr>
                <w:rFonts w:ascii="仿宋" w:hAnsi="仿宋" w:eastAsia="仿宋"/>
                <w:sz w:val="28"/>
                <w:szCs w:val="28"/>
              </w:rPr>
            </w:pPr>
            <w:r>
              <w:rPr>
                <w:rFonts w:hint="eastAsia" w:ascii="仿宋" w:hAnsi="仿宋" w:eastAsia="仿宋"/>
                <w:sz w:val="28"/>
                <w:szCs w:val="28"/>
              </w:rPr>
              <w:t>12331</w:t>
            </w:r>
          </w:p>
        </w:tc>
        <w:tc>
          <w:tcPr>
            <w:tcW w:w="2693" w:type="dxa"/>
            <w:tcBorders>
              <w:top w:val="nil"/>
              <w:left w:val="nil"/>
              <w:bottom w:val="single" w:color="auto" w:sz="4" w:space="0"/>
              <w:right w:val="single" w:color="auto" w:sz="4" w:space="0"/>
            </w:tcBorders>
            <w:shd w:val="clear" w:color="auto" w:fill="FFFFFF" w:themeFill="background1"/>
            <w:vAlign w:val="center"/>
          </w:tcPr>
          <w:p>
            <w:pPr>
              <w:spacing w:line="480" w:lineRule="exact"/>
              <w:jc w:val="center"/>
              <w:rPr>
                <w:rFonts w:ascii="仿宋" w:hAnsi="仿宋" w:eastAsia="仿宋"/>
                <w:sz w:val="28"/>
                <w:szCs w:val="28"/>
              </w:rPr>
            </w:pPr>
            <w:r>
              <w:rPr>
                <w:rFonts w:hint="eastAsia" w:ascii="仿宋" w:hAnsi="仿宋" w:eastAsia="仿宋"/>
                <w:sz w:val="28"/>
                <w:szCs w:val="28"/>
              </w:rPr>
              <w:t>12059</w:t>
            </w:r>
          </w:p>
        </w:tc>
      </w:tr>
    </w:tbl>
    <w:p>
      <w:pPr>
        <w:spacing w:line="480" w:lineRule="exact"/>
        <w:rPr>
          <w:rFonts w:ascii="仿宋" w:hAnsi="仿宋" w:eastAsia="仿宋"/>
          <w:sz w:val="28"/>
          <w:szCs w:val="28"/>
        </w:rPr>
      </w:pPr>
    </w:p>
    <w:p>
      <w:pPr>
        <w:spacing w:line="480" w:lineRule="exact"/>
        <w:jc w:val="right"/>
        <w:rPr>
          <w:rFonts w:ascii="仿宋" w:hAnsi="仿宋" w:eastAsia="仿宋"/>
          <w:sz w:val="28"/>
          <w:szCs w:val="28"/>
        </w:rPr>
      </w:pPr>
      <w:r>
        <w:rPr>
          <w:rFonts w:hint="eastAsia" w:ascii="仿宋" w:hAnsi="仿宋" w:eastAsia="仿宋"/>
          <w:b/>
          <w:bCs/>
          <w:sz w:val="28"/>
          <w:szCs w:val="28"/>
        </w:rPr>
        <w:t>表4  经费预算</w:t>
      </w:r>
      <w:r>
        <w:rPr>
          <w:rFonts w:hint="eastAsia" w:ascii="仿宋" w:hAnsi="仿宋" w:eastAsia="仿宋"/>
          <w:sz w:val="28"/>
          <w:szCs w:val="28"/>
        </w:rPr>
        <w:t xml:space="preserve">            （单位：万元）</w:t>
      </w:r>
    </w:p>
    <w:tbl>
      <w:tblPr>
        <w:tblStyle w:val="8"/>
        <w:tblW w:w="9215" w:type="dxa"/>
        <w:tblInd w:w="-176" w:type="dxa"/>
        <w:tblLayout w:type="fixed"/>
        <w:tblCellMar>
          <w:top w:w="0" w:type="dxa"/>
          <w:left w:w="108" w:type="dxa"/>
          <w:bottom w:w="0" w:type="dxa"/>
          <w:right w:w="108" w:type="dxa"/>
        </w:tblCellMar>
      </w:tblPr>
      <w:tblGrid>
        <w:gridCol w:w="2127"/>
        <w:gridCol w:w="992"/>
        <w:gridCol w:w="1134"/>
        <w:gridCol w:w="851"/>
        <w:gridCol w:w="1134"/>
        <w:gridCol w:w="992"/>
        <w:gridCol w:w="1134"/>
        <w:gridCol w:w="851"/>
      </w:tblGrid>
      <w:tr>
        <w:tblPrEx>
          <w:tblLayout w:type="fixed"/>
          <w:tblCellMar>
            <w:top w:w="0" w:type="dxa"/>
            <w:left w:w="108" w:type="dxa"/>
            <w:bottom w:w="0" w:type="dxa"/>
            <w:right w:w="108" w:type="dxa"/>
          </w:tblCellMar>
        </w:tblPrEx>
        <w:trPr>
          <w:trHeight w:val="285" w:hRule="atLeast"/>
        </w:trPr>
        <w:tc>
          <w:tcPr>
            <w:tcW w:w="21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sz w:val="28"/>
                <w:szCs w:val="28"/>
              </w:rPr>
            </w:pPr>
            <w:r>
              <w:rPr>
                <w:rFonts w:hint="eastAsia" w:ascii="仿宋" w:hAnsi="仿宋" w:eastAsia="仿宋"/>
                <w:sz w:val="28"/>
                <w:szCs w:val="28"/>
              </w:rPr>
              <w:t>　</w:t>
            </w:r>
          </w:p>
        </w:tc>
        <w:tc>
          <w:tcPr>
            <w:tcW w:w="212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sz w:val="28"/>
                <w:szCs w:val="28"/>
              </w:rPr>
            </w:pPr>
            <w:r>
              <w:rPr>
                <w:rFonts w:hint="eastAsia" w:ascii="仿宋" w:hAnsi="仿宋" w:eastAsia="仿宋"/>
                <w:sz w:val="28"/>
                <w:szCs w:val="28"/>
              </w:rPr>
              <w:t>2018年</w:t>
            </w:r>
          </w:p>
        </w:tc>
        <w:tc>
          <w:tcPr>
            <w:tcW w:w="1985"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sz w:val="28"/>
                <w:szCs w:val="28"/>
              </w:rPr>
            </w:pPr>
            <w:r>
              <w:rPr>
                <w:rFonts w:hint="eastAsia" w:ascii="仿宋" w:hAnsi="仿宋" w:eastAsia="仿宋"/>
                <w:sz w:val="28"/>
                <w:szCs w:val="28"/>
              </w:rPr>
              <w:t>2019年</w:t>
            </w:r>
          </w:p>
        </w:tc>
        <w:tc>
          <w:tcPr>
            <w:tcW w:w="212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sz w:val="28"/>
                <w:szCs w:val="28"/>
              </w:rPr>
            </w:pPr>
            <w:r>
              <w:rPr>
                <w:rFonts w:hint="eastAsia" w:ascii="仿宋" w:hAnsi="仿宋" w:eastAsia="仿宋"/>
                <w:sz w:val="28"/>
                <w:szCs w:val="28"/>
              </w:rPr>
              <w:t>2020年</w:t>
            </w: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sz w:val="28"/>
                <w:szCs w:val="28"/>
              </w:rPr>
            </w:pPr>
            <w:r>
              <w:rPr>
                <w:rFonts w:hint="eastAsia" w:ascii="仿宋" w:hAnsi="仿宋" w:eastAsia="仿宋"/>
                <w:sz w:val="28"/>
                <w:szCs w:val="28"/>
              </w:rPr>
              <w:t>合计</w:t>
            </w:r>
          </w:p>
        </w:tc>
      </w:tr>
      <w:tr>
        <w:tblPrEx>
          <w:tblLayout w:type="fixed"/>
          <w:tblCellMar>
            <w:top w:w="0" w:type="dxa"/>
            <w:left w:w="108" w:type="dxa"/>
            <w:bottom w:w="0" w:type="dxa"/>
            <w:right w:w="108" w:type="dxa"/>
          </w:tblCellMar>
        </w:tblPrEx>
        <w:trPr>
          <w:trHeight w:val="570" w:hRule="atLeast"/>
        </w:trPr>
        <w:tc>
          <w:tcPr>
            <w:tcW w:w="21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仿宋" w:hAnsi="仿宋" w:eastAsia="仿宋"/>
                <w:sz w:val="28"/>
                <w:szCs w:val="28"/>
              </w:rPr>
            </w:pPr>
          </w:p>
        </w:tc>
        <w:tc>
          <w:tcPr>
            <w:tcW w:w="992"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sz w:val="28"/>
                <w:szCs w:val="28"/>
              </w:rPr>
            </w:pPr>
            <w:r>
              <w:rPr>
                <w:rFonts w:hint="eastAsia" w:ascii="仿宋" w:hAnsi="仿宋" w:eastAsia="仿宋"/>
                <w:sz w:val="28"/>
                <w:szCs w:val="28"/>
              </w:rPr>
              <w:t>学校财政预算</w:t>
            </w:r>
          </w:p>
        </w:tc>
        <w:tc>
          <w:tcPr>
            <w:tcW w:w="1134"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sz w:val="28"/>
                <w:szCs w:val="28"/>
              </w:rPr>
            </w:pPr>
            <w:r>
              <w:rPr>
                <w:rFonts w:hint="eastAsia" w:ascii="仿宋" w:hAnsi="仿宋" w:eastAsia="仿宋"/>
                <w:sz w:val="28"/>
                <w:szCs w:val="28"/>
              </w:rPr>
              <w:t>政府竞争性项目</w:t>
            </w:r>
          </w:p>
        </w:tc>
        <w:tc>
          <w:tcPr>
            <w:tcW w:w="85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sz w:val="28"/>
                <w:szCs w:val="28"/>
              </w:rPr>
            </w:pPr>
            <w:r>
              <w:rPr>
                <w:rFonts w:hint="eastAsia" w:ascii="仿宋" w:hAnsi="仿宋" w:eastAsia="仿宋"/>
                <w:sz w:val="28"/>
                <w:szCs w:val="28"/>
              </w:rPr>
              <w:t>学校财政预算</w:t>
            </w:r>
          </w:p>
        </w:tc>
        <w:tc>
          <w:tcPr>
            <w:tcW w:w="1134"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sz w:val="28"/>
                <w:szCs w:val="28"/>
              </w:rPr>
            </w:pPr>
            <w:r>
              <w:rPr>
                <w:rFonts w:hint="eastAsia" w:ascii="仿宋" w:hAnsi="仿宋" w:eastAsia="仿宋"/>
                <w:sz w:val="28"/>
                <w:szCs w:val="28"/>
              </w:rPr>
              <w:t>政府竞争性项目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sz w:val="28"/>
                <w:szCs w:val="28"/>
              </w:rPr>
            </w:pPr>
            <w:r>
              <w:rPr>
                <w:rFonts w:hint="eastAsia" w:ascii="仿宋" w:hAnsi="仿宋" w:eastAsia="仿宋"/>
                <w:sz w:val="28"/>
                <w:szCs w:val="28"/>
              </w:rPr>
              <w:t>学校财政预算</w:t>
            </w:r>
          </w:p>
        </w:tc>
        <w:tc>
          <w:tcPr>
            <w:tcW w:w="1134"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sz w:val="28"/>
                <w:szCs w:val="28"/>
              </w:rPr>
            </w:pPr>
            <w:r>
              <w:rPr>
                <w:rFonts w:hint="eastAsia" w:ascii="仿宋" w:hAnsi="仿宋" w:eastAsia="仿宋"/>
                <w:sz w:val="28"/>
                <w:szCs w:val="28"/>
              </w:rPr>
              <w:t>政府竞争性项目</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仿宋" w:hAnsi="仿宋" w:eastAsia="仿宋"/>
                <w:sz w:val="28"/>
                <w:szCs w:val="28"/>
              </w:rPr>
            </w:pPr>
          </w:p>
        </w:tc>
      </w:tr>
      <w:tr>
        <w:tblPrEx>
          <w:tblLayout w:type="fixed"/>
          <w:tblCellMar>
            <w:top w:w="0" w:type="dxa"/>
            <w:left w:w="108" w:type="dxa"/>
            <w:bottom w:w="0" w:type="dxa"/>
            <w:right w:w="108" w:type="dxa"/>
          </w:tblCellMar>
        </w:tblPrEx>
        <w:trPr>
          <w:trHeight w:val="855" w:hRule="atLeast"/>
        </w:trPr>
        <w:tc>
          <w:tcPr>
            <w:tcW w:w="2127" w:type="dxa"/>
            <w:tcBorders>
              <w:top w:val="nil"/>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sz w:val="28"/>
                <w:szCs w:val="28"/>
              </w:rPr>
            </w:pPr>
            <w:r>
              <w:rPr>
                <w:rFonts w:hint="eastAsia" w:ascii="仿宋" w:hAnsi="仿宋" w:eastAsia="仿宋"/>
                <w:spacing w:val="-20"/>
                <w:sz w:val="28"/>
                <w:szCs w:val="28"/>
              </w:rPr>
              <w:t>各类政府竞争性项目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sz w:val="28"/>
                <w:szCs w:val="28"/>
              </w:rPr>
            </w:pPr>
            <w:r>
              <w:rPr>
                <w:rFonts w:hint="eastAsia" w:ascii="仿宋" w:hAnsi="仿宋" w:eastAsia="仿宋"/>
                <w:sz w:val="28"/>
                <w:szCs w:val="28"/>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sz w:val="28"/>
                <w:szCs w:val="28"/>
              </w:rPr>
            </w:pPr>
            <w:r>
              <w:rPr>
                <w:rFonts w:hint="eastAsia" w:ascii="仿宋" w:hAnsi="仿宋" w:eastAsia="仿宋"/>
                <w:sz w:val="28"/>
                <w:szCs w:val="28"/>
              </w:rPr>
              <w:t>2000</w:t>
            </w:r>
          </w:p>
        </w:tc>
        <w:tc>
          <w:tcPr>
            <w:tcW w:w="85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sz w:val="28"/>
                <w:szCs w:val="28"/>
              </w:rPr>
            </w:pPr>
            <w:r>
              <w:rPr>
                <w:rFonts w:hint="eastAsia" w:ascii="仿宋" w:hAnsi="仿宋" w:eastAsia="仿宋"/>
                <w:sz w:val="28"/>
                <w:szCs w:val="28"/>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sz w:val="28"/>
                <w:szCs w:val="28"/>
              </w:rPr>
            </w:pPr>
            <w:r>
              <w:rPr>
                <w:rFonts w:hint="eastAsia" w:ascii="仿宋" w:hAnsi="仿宋" w:eastAsia="仿宋"/>
                <w:sz w:val="28"/>
                <w:szCs w:val="28"/>
              </w:rPr>
              <w:t>1000</w:t>
            </w:r>
          </w:p>
        </w:tc>
        <w:tc>
          <w:tcPr>
            <w:tcW w:w="992"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sz w:val="28"/>
                <w:szCs w:val="28"/>
              </w:rPr>
            </w:pPr>
            <w:r>
              <w:rPr>
                <w:rFonts w:hint="eastAsia" w:ascii="仿宋" w:hAnsi="仿宋" w:eastAsia="仿宋"/>
                <w:sz w:val="28"/>
                <w:szCs w:val="28"/>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sz w:val="28"/>
                <w:szCs w:val="28"/>
              </w:rPr>
            </w:pPr>
            <w:r>
              <w:rPr>
                <w:rFonts w:hint="eastAsia" w:ascii="仿宋" w:hAnsi="仿宋" w:eastAsia="仿宋"/>
                <w:sz w:val="28"/>
                <w:szCs w:val="28"/>
              </w:rPr>
              <w:t>1000</w:t>
            </w:r>
          </w:p>
        </w:tc>
        <w:tc>
          <w:tcPr>
            <w:tcW w:w="85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sz w:val="28"/>
                <w:szCs w:val="28"/>
              </w:rPr>
            </w:pPr>
            <w:r>
              <w:rPr>
                <w:rFonts w:hint="eastAsia" w:ascii="仿宋" w:hAnsi="仿宋" w:eastAsia="仿宋"/>
                <w:sz w:val="28"/>
                <w:szCs w:val="28"/>
              </w:rPr>
              <w:t>4000</w:t>
            </w:r>
          </w:p>
        </w:tc>
      </w:tr>
      <w:tr>
        <w:tblPrEx>
          <w:tblLayout w:type="fixed"/>
          <w:tblCellMar>
            <w:top w:w="0" w:type="dxa"/>
            <w:left w:w="108" w:type="dxa"/>
            <w:bottom w:w="0" w:type="dxa"/>
            <w:right w:w="108" w:type="dxa"/>
          </w:tblCellMar>
        </w:tblPrEx>
        <w:trPr>
          <w:trHeight w:val="1230" w:hRule="atLeast"/>
        </w:trPr>
        <w:tc>
          <w:tcPr>
            <w:tcW w:w="2127" w:type="dxa"/>
            <w:tcBorders>
              <w:top w:val="nil"/>
              <w:left w:val="single" w:color="auto" w:sz="4" w:space="0"/>
              <w:bottom w:val="single" w:color="auto" w:sz="4" w:space="0"/>
              <w:right w:val="single" w:color="auto" w:sz="4" w:space="0"/>
            </w:tcBorders>
            <w:shd w:val="clear" w:color="auto" w:fill="auto"/>
            <w:vAlign w:val="center"/>
          </w:tcPr>
          <w:p>
            <w:pPr>
              <w:widowControl/>
              <w:spacing w:line="480" w:lineRule="exact"/>
              <w:jc w:val="both"/>
              <w:rPr>
                <w:rFonts w:ascii="仿宋" w:hAnsi="仿宋" w:eastAsia="仿宋"/>
                <w:sz w:val="28"/>
                <w:szCs w:val="28"/>
              </w:rPr>
            </w:pPr>
            <w:r>
              <w:rPr>
                <w:rFonts w:hint="eastAsia" w:ascii="仿宋" w:hAnsi="仿宋" w:eastAsia="仿宋"/>
                <w:spacing w:val="-20"/>
                <w:sz w:val="28"/>
                <w:szCs w:val="28"/>
              </w:rPr>
              <w:t>实验室专项建设</w:t>
            </w:r>
            <w:r>
              <w:rPr>
                <w:rFonts w:hint="eastAsia" w:ascii="仿宋" w:hAnsi="仿宋" w:eastAsia="仿宋"/>
                <w:spacing w:val="-28"/>
                <w:sz w:val="28"/>
                <w:szCs w:val="28"/>
              </w:rPr>
              <w:t>（含艺术教育经费）</w:t>
            </w:r>
          </w:p>
        </w:tc>
        <w:tc>
          <w:tcPr>
            <w:tcW w:w="992"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sz w:val="28"/>
                <w:szCs w:val="28"/>
              </w:rPr>
            </w:pPr>
            <w:r>
              <w:rPr>
                <w:rFonts w:hint="eastAsia" w:ascii="仿宋" w:hAnsi="仿宋" w:eastAsia="仿宋"/>
                <w:sz w:val="28"/>
                <w:szCs w:val="28"/>
              </w:rPr>
              <w:t>1500</w:t>
            </w:r>
          </w:p>
        </w:tc>
        <w:tc>
          <w:tcPr>
            <w:tcW w:w="1134"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sz w:val="28"/>
                <w:szCs w:val="28"/>
              </w:rPr>
            </w:pPr>
            <w:r>
              <w:rPr>
                <w:rFonts w:hint="eastAsia" w:ascii="仿宋" w:hAnsi="仿宋" w:eastAsia="仿宋"/>
                <w:sz w:val="28"/>
                <w:szCs w:val="28"/>
              </w:rPr>
              <w:t>　</w:t>
            </w:r>
          </w:p>
        </w:tc>
        <w:tc>
          <w:tcPr>
            <w:tcW w:w="85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sz w:val="28"/>
                <w:szCs w:val="28"/>
              </w:rPr>
            </w:pPr>
            <w:r>
              <w:rPr>
                <w:rFonts w:hint="eastAsia" w:ascii="仿宋" w:hAnsi="仿宋" w:eastAsia="仿宋"/>
                <w:sz w:val="28"/>
                <w:szCs w:val="28"/>
              </w:rPr>
              <w:t>1500</w:t>
            </w:r>
          </w:p>
        </w:tc>
        <w:tc>
          <w:tcPr>
            <w:tcW w:w="1134"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sz w:val="28"/>
                <w:szCs w:val="28"/>
              </w:rPr>
            </w:pPr>
            <w:r>
              <w:rPr>
                <w:rFonts w:hint="eastAsia" w:ascii="仿宋" w:hAnsi="仿宋" w:eastAsia="仿宋"/>
                <w:sz w:val="28"/>
                <w:szCs w:val="28"/>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sz w:val="28"/>
                <w:szCs w:val="28"/>
              </w:rPr>
            </w:pPr>
            <w:r>
              <w:rPr>
                <w:rFonts w:hint="eastAsia" w:ascii="仿宋" w:hAnsi="仿宋" w:eastAsia="仿宋"/>
                <w:sz w:val="28"/>
                <w:szCs w:val="28"/>
              </w:rPr>
              <w:t>1000</w:t>
            </w:r>
          </w:p>
        </w:tc>
        <w:tc>
          <w:tcPr>
            <w:tcW w:w="1134"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sz w:val="28"/>
                <w:szCs w:val="28"/>
              </w:rPr>
            </w:pPr>
            <w:r>
              <w:rPr>
                <w:rFonts w:hint="eastAsia" w:ascii="仿宋" w:hAnsi="仿宋" w:eastAsia="仿宋"/>
                <w:sz w:val="28"/>
                <w:szCs w:val="28"/>
              </w:rPr>
              <w:t>　</w:t>
            </w:r>
          </w:p>
        </w:tc>
        <w:tc>
          <w:tcPr>
            <w:tcW w:w="85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sz w:val="28"/>
                <w:szCs w:val="28"/>
              </w:rPr>
            </w:pPr>
            <w:r>
              <w:rPr>
                <w:rFonts w:hint="eastAsia" w:ascii="仿宋" w:hAnsi="仿宋" w:eastAsia="仿宋"/>
                <w:sz w:val="28"/>
                <w:szCs w:val="28"/>
              </w:rPr>
              <w:t>4000</w:t>
            </w:r>
          </w:p>
        </w:tc>
      </w:tr>
      <w:tr>
        <w:tblPrEx>
          <w:tblLayout w:type="fixed"/>
          <w:tblCellMar>
            <w:top w:w="0" w:type="dxa"/>
            <w:left w:w="108" w:type="dxa"/>
            <w:bottom w:w="0" w:type="dxa"/>
            <w:right w:w="108" w:type="dxa"/>
          </w:tblCellMar>
        </w:tblPrEx>
        <w:trPr>
          <w:trHeight w:val="570" w:hRule="atLeast"/>
        </w:trPr>
        <w:tc>
          <w:tcPr>
            <w:tcW w:w="2127" w:type="dxa"/>
            <w:tcBorders>
              <w:top w:val="nil"/>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sz w:val="28"/>
                <w:szCs w:val="28"/>
              </w:rPr>
            </w:pPr>
            <w:r>
              <w:rPr>
                <w:rFonts w:hint="eastAsia" w:ascii="仿宋" w:hAnsi="仿宋" w:eastAsia="仿宋"/>
                <w:sz w:val="28"/>
                <w:szCs w:val="28"/>
              </w:rPr>
              <w:t>创新创业平台</w:t>
            </w:r>
          </w:p>
        </w:tc>
        <w:tc>
          <w:tcPr>
            <w:tcW w:w="992"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sz w:val="28"/>
                <w:szCs w:val="28"/>
              </w:rPr>
            </w:pPr>
            <w:r>
              <w:rPr>
                <w:rFonts w:hint="eastAsia" w:ascii="仿宋" w:hAnsi="仿宋" w:eastAsia="仿宋"/>
                <w:sz w:val="28"/>
                <w:szCs w:val="28"/>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sz w:val="28"/>
                <w:szCs w:val="28"/>
              </w:rPr>
            </w:pPr>
            <w:r>
              <w:rPr>
                <w:rFonts w:hint="eastAsia" w:ascii="仿宋" w:hAnsi="仿宋" w:eastAsia="仿宋"/>
                <w:sz w:val="28"/>
                <w:szCs w:val="28"/>
              </w:rPr>
              <w:t>　</w:t>
            </w:r>
          </w:p>
        </w:tc>
        <w:tc>
          <w:tcPr>
            <w:tcW w:w="85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sz w:val="28"/>
                <w:szCs w:val="28"/>
              </w:rPr>
            </w:pPr>
            <w:r>
              <w:rPr>
                <w:rFonts w:hint="eastAsia" w:ascii="仿宋" w:hAnsi="仿宋" w:eastAsia="仿宋"/>
                <w:sz w:val="28"/>
                <w:szCs w:val="28"/>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sz w:val="28"/>
                <w:szCs w:val="28"/>
              </w:rPr>
            </w:pPr>
            <w:r>
              <w:rPr>
                <w:rFonts w:hint="eastAsia" w:ascii="仿宋" w:hAnsi="仿宋" w:eastAsia="仿宋"/>
                <w:sz w:val="28"/>
                <w:szCs w:val="28"/>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480" w:lineRule="exact"/>
              <w:rPr>
                <w:rFonts w:ascii="仿宋" w:hAnsi="仿宋" w:eastAsia="仿宋"/>
                <w:sz w:val="28"/>
                <w:szCs w:val="28"/>
              </w:rPr>
            </w:pPr>
            <w:r>
              <w:rPr>
                <w:rFonts w:hint="eastAsia" w:ascii="仿宋" w:hAnsi="仿宋" w:eastAsia="仿宋"/>
                <w:sz w:val="28"/>
                <w:szCs w:val="28"/>
              </w:rPr>
              <w:t>1000</w:t>
            </w:r>
          </w:p>
        </w:tc>
        <w:tc>
          <w:tcPr>
            <w:tcW w:w="1134"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sz w:val="28"/>
                <w:szCs w:val="28"/>
              </w:rPr>
            </w:pPr>
            <w:r>
              <w:rPr>
                <w:rFonts w:hint="eastAsia" w:ascii="仿宋" w:hAnsi="仿宋" w:eastAsia="仿宋"/>
                <w:sz w:val="28"/>
                <w:szCs w:val="28"/>
              </w:rPr>
              <w:t>　</w:t>
            </w:r>
          </w:p>
        </w:tc>
        <w:tc>
          <w:tcPr>
            <w:tcW w:w="851" w:type="dxa"/>
            <w:tcBorders>
              <w:top w:val="nil"/>
              <w:left w:val="nil"/>
              <w:bottom w:val="single" w:color="auto" w:sz="4" w:space="0"/>
              <w:right w:val="single" w:color="auto" w:sz="4" w:space="0"/>
            </w:tcBorders>
            <w:shd w:val="clear" w:color="auto" w:fill="auto"/>
            <w:vAlign w:val="center"/>
          </w:tcPr>
          <w:p>
            <w:pPr>
              <w:widowControl/>
              <w:spacing w:line="480" w:lineRule="exact"/>
              <w:rPr>
                <w:rFonts w:ascii="仿宋" w:hAnsi="仿宋" w:eastAsia="仿宋"/>
                <w:sz w:val="28"/>
                <w:szCs w:val="28"/>
              </w:rPr>
            </w:pPr>
            <w:r>
              <w:rPr>
                <w:rFonts w:hint="eastAsia" w:ascii="仿宋" w:hAnsi="仿宋" w:eastAsia="仿宋"/>
                <w:sz w:val="28"/>
                <w:szCs w:val="28"/>
              </w:rPr>
              <w:t>1000</w:t>
            </w:r>
          </w:p>
        </w:tc>
      </w:tr>
      <w:tr>
        <w:tblPrEx>
          <w:tblLayout w:type="fixed"/>
          <w:tblCellMar>
            <w:top w:w="0" w:type="dxa"/>
            <w:left w:w="108" w:type="dxa"/>
            <w:bottom w:w="0" w:type="dxa"/>
            <w:right w:w="108" w:type="dxa"/>
          </w:tblCellMar>
        </w:tblPrEx>
        <w:trPr>
          <w:trHeight w:val="285" w:hRule="atLeast"/>
        </w:trPr>
        <w:tc>
          <w:tcPr>
            <w:tcW w:w="2127" w:type="dxa"/>
            <w:tcBorders>
              <w:top w:val="nil"/>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sz w:val="28"/>
                <w:szCs w:val="28"/>
              </w:rPr>
            </w:pPr>
            <w:r>
              <w:rPr>
                <w:rFonts w:hint="eastAsia" w:ascii="仿宋" w:hAnsi="仿宋" w:eastAsia="仿宋"/>
                <w:sz w:val="28"/>
                <w:szCs w:val="28"/>
              </w:rPr>
              <w:t>总计</w:t>
            </w:r>
          </w:p>
        </w:tc>
        <w:tc>
          <w:tcPr>
            <w:tcW w:w="992"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sz w:val="28"/>
                <w:szCs w:val="28"/>
              </w:rPr>
            </w:pPr>
            <w:r>
              <w:rPr>
                <w:rFonts w:hint="eastAsia" w:ascii="仿宋" w:hAnsi="仿宋" w:eastAsia="仿宋"/>
                <w:sz w:val="28"/>
                <w:szCs w:val="28"/>
              </w:rPr>
              <w:t>1500</w:t>
            </w:r>
          </w:p>
        </w:tc>
        <w:tc>
          <w:tcPr>
            <w:tcW w:w="1134"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sz w:val="28"/>
                <w:szCs w:val="28"/>
              </w:rPr>
            </w:pPr>
            <w:r>
              <w:rPr>
                <w:rFonts w:hint="eastAsia" w:ascii="仿宋" w:hAnsi="仿宋" w:eastAsia="仿宋"/>
                <w:sz w:val="28"/>
                <w:szCs w:val="28"/>
              </w:rPr>
              <w:t>2000</w:t>
            </w:r>
          </w:p>
        </w:tc>
        <w:tc>
          <w:tcPr>
            <w:tcW w:w="85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sz w:val="28"/>
                <w:szCs w:val="28"/>
              </w:rPr>
            </w:pPr>
            <w:r>
              <w:rPr>
                <w:rFonts w:hint="eastAsia" w:ascii="仿宋" w:hAnsi="仿宋" w:eastAsia="仿宋"/>
                <w:sz w:val="28"/>
                <w:szCs w:val="28"/>
              </w:rPr>
              <w:t>1500</w:t>
            </w:r>
          </w:p>
        </w:tc>
        <w:tc>
          <w:tcPr>
            <w:tcW w:w="1134"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sz w:val="28"/>
                <w:szCs w:val="28"/>
              </w:rPr>
            </w:pPr>
            <w:r>
              <w:rPr>
                <w:rFonts w:hint="eastAsia" w:ascii="仿宋" w:hAnsi="仿宋" w:eastAsia="仿宋"/>
                <w:sz w:val="28"/>
                <w:szCs w:val="28"/>
              </w:rPr>
              <w:t>1000</w:t>
            </w:r>
          </w:p>
        </w:tc>
        <w:tc>
          <w:tcPr>
            <w:tcW w:w="992"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sz w:val="28"/>
                <w:szCs w:val="28"/>
              </w:rPr>
            </w:pPr>
            <w:r>
              <w:rPr>
                <w:rFonts w:hint="eastAsia" w:ascii="仿宋" w:hAnsi="仿宋" w:eastAsia="仿宋"/>
                <w:sz w:val="28"/>
                <w:szCs w:val="28"/>
              </w:rPr>
              <w:t>2000</w:t>
            </w:r>
          </w:p>
        </w:tc>
        <w:tc>
          <w:tcPr>
            <w:tcW w:w="1134"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sz w:val="28"/>
                <w:szCs w:val="28"/>
              </w:rPr>
            </w:pPr>
            <w:r>
              <w:rPr>
                <w:rFonts w:hint="eastAsia" w:ascii="仿宋" w:hAnsi="仿宋" w:eastAsia="仿宋"/>
                <w:sz w:val="28"/>
                <w:szCs w:val="28"/>
              </w:rPr>
              <w:t>1000</w:t>
            </w:r>
          </w:p>
        </w:tc>
        <w:tc>
          <w:tcPr>
            <w:tcW w:w="85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sz w:val="28"/>
                <w:szCs w:val="28"/>
              </w:rPr>
            </w:pPr>
            <w:r>
              <w:rPr>
                <w:rFonts w:hint="eastAsia" w:ascii="仿宋" w:hAnsi="仿宋" w:eastAsia="仿宋"/>
                <w:sz w:val="28"/>
                <w:szCs w:val="28"/>
              </w:rPr>
              <w:t>9000</w:t>
            </w:r>
          </w:p>
        </w:tc>
      </w:tr>
    </w:tbl>
    <w:p>
      <w:pPr>
        <w:snapToGrid w:val="0"/>
        <w:spacing w:line="480" w:lineRule="exact"/>
        <w:rPr>
          <w:rFonts w:hint="eastAsia" w:ascii="仿宋_GB2312" w:eastAsia="仿宋_GB2312"/>
          <w:color w:val="FF0000"/>
          <w:sz w:val="28"/>
          <w:szCs w:val="28"/>
        </w:rPr>
      </w:pPr>
    </w:p>
    <w:sectPr>
      <w:footerReference r:id="rId4" w:type="default"/>
      <w:pgSz w:w="11906" w:h="16838"/>
      <w:pgMar w:top="2098" w:right="1588" w:bottom="1701"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ascii="仿宋" w:hAnsi="仿宋" w:eastAsia="仿宋"/>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pPr>
      <w:r>
        <w:rPr>
          <w:rStyle w:val="7"/>
        </w:rPr>
        <w:footnoteRef/>
      </w:r>
      <w:r>
        <w:rPr>
          <w:rFonts w:ascii="仿宋" w:hAnsi="仿宋" w:eastAsia="仿宋"/>
          <w:sz w:val="21"/>
          <w:szCs w:val="21"/>
        </w:rPr>
        <w:t>课程的二维矩阵表</w:t>
      </w:r>
      <w:r>
        <w:rPr>
          <w:rFonts w:hint="eastAsia" w:ascii="仿宋" w:hAnsi="仿宋" w:eastAsia="仿宋"/>
          <w:sz w:val="21"/>
          <w:szCs w:val="21"/>
        </w:rPr>
        <w:t>，</w:t>
      </w:r>
      <w:r>
        <w:rPr>
          <w:rFonts w:ascii="仿宋" w:hAnsi="仿宋" w:eastAsia="仿宋"/>
          <w:sz w:val="21"/>
          <w:szCs w:val="21"/>
        </w:rPr>
        <w:t>即课程</w:t>
      </w:r>
      <w:r>
        <w:rPr>
          <w:rFonts w:hint="eastAsia" w:ascii="仿宋" w:hAnsi="仿宋" w:eastAsia="仿宋"/>
          <w:sz w:val="21"/>
          <w:szCs w:val="21"/>
        </w:rPr>
        <w:t>目的性</w:t>
      </w:r>
      <w:r>
        <w:rPr>
          <w:rFonts w:ascii="仿宋" w:hAnsi="仿宋" w:eastAsia="仿宋"/>
          <w:sz w:val="21"/>
          <w:szCs w:val="21"/>
        </w:rPr>
        <w:t>（</w:t>
      </w:r>
      <w:r>
        <w:rPr>
          <w:rFonts w:hint="eastAsia" w:ascii="仿宋" w:hAnsi="仿宋" w:eastAsia="仿宋"/>
          <w:sz w:val="21"/>
          <w:szCs w:val="21"/>
        </w:rPr>
        <w:t>即</w:t>
      </w:r>
      <w:r>
        <w:rPr>
          <w:rFonts w:ascii="仿宋" w:hAnsi="仿宋" w:eastAsia="仿宋"/>
          <w:sz w:val="21"/>
          <w:szCs w:val="21"/>
        </w:rPr>
        <w:t>开设这门课程</w:t>
      </w:r>
      <w:r>
        <w:rPr>
          <w:rFonts w:hint="eastAsia" w:ascii="仿宋" w:hAnsi="仿宋" w:eastAsia="仿宋"/>
          <w:sz w:val="21"/>
          <w:szCs w:val="21"/>
        </w:rPr>
        <w:t>，</w:t>
      </w:r>
      <w:r>
        <w:rPr>
          <w:rFonts w:ascii="仿宋" w:hAnsi="仿宋" w:eastAsia="仿宋"/>
          <w:sz w:val="21"/>
          <w:szCs w:val="21"/>
        </w:rPr>
        <w:t>应</w:t>
      </w:r>
      <w:r>
        <w:rPr>
          <w:rFonts w:hint="eastAsia" w:ascii="仿宋" w:hAnsi="仿宋" w:eastAsia="仿宋"/>
          <w:sz w:val="21"/>
          <w:szCs w:val="21"/>
        </w:rPr>
        <w:t>给予</w:t>
      </w:r>
      <w:r>
        <w:rPr>
          <w:rFonts w:ascii="仿宋" w:hAnsi="仿宋" w:eastAsia="仿宋"/>
          <w:sz w:val="21"/>
          <w:szCs w:val="21"/>
        </w:rPr>
        <w:t>学生的知识能力素质要求）</w:t>
      </w:r>
      <w:r>
        <w:rPr>
          <w:rFonts w:hint="eastAsia" w:ascii="仿宋" w:hAnsi="仿宋" w:eastAsia="仿宋"/>
          <w:sz w:val="21"/>
          <w:szCs w:val="21"/>
        </w:rPr>
        <w:t>与</w:t>
      </w:r>
      <w:r>
        <w:rPr>
          <w:rFonts w:ascii="仿宋" w:hAnsi="仿宋" w:eastAsia="仿宋"/>
          <w:sz w:val="21"/>
          <w:szCs w:val="21"/>
        </w:rPr>
        <w:t>毕业要求的对应度</w:t>
      </w:r>
      <w:r>
        <w:rPr>
          <w:rFonts w:hint="eastAsia" w:ascii="仿宋" w:hAnsi="仿宋" w:eastAsia="仿宋"/>
          <w:sz w:val="21"/>
          <w:szCs w:val="21"/>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4E4"/>
    <w:rsid w:val="0005619D"/>
    <w:rsid w:val="00065D10"/>
    <w:rsid w:val="000C3D8B"/>
    <w:rsid w:val="000D4554"/>
    <w:rsid w:val="000E37A3"/>
    <w:rsid w:val="000F7F5E"/>
    <w:rsid w:val="001E13DF"/>
    <w:rsid w:val="001E5E06"/>
    <w:rsid w:val="002250DA"/>
    <w:rsid w:val="002554BC"/>
    <w:rsid w:val="002C01C9"/>
    <w:rsid w:val="003D7C3E"/>
    <w:rsid w:val="00413D2A"/>
    <w:rsid w:val="004C40EF"/>
    <w:rsid w:val="0051112F"/>
    <w:rsid w:val="005958A3"/>
    <w:rsid w:val="0060366F"/>
    <w:rsid w:val="00603EDF"/>
    <w:rsid w:val="00656867"/>
    <w:rsid w:val="006804E4"/>
    <w:rsid w:val="006910C6"/>
    <w:rsid w:val="006943B8"/>
    <w:rsid w:val="006E1AD9"/>
    <w:rsid w:val="00742068"/>
    <w:rsid w:val="00797F6A"/>
    <w:rsid w:val="007D56EA"/>
    <w:rsid w:val="00844826"/>
    <w:rsid w:val="00966C33"/>
    <w:rsid w:val="0097570C"/>
    <w:rsid w:val="009908D5"/>
    <w:rsid w:val="009A198B"/>
    <w:rsid w:val="009B6100"/>
    <w:rsid w:val="00A12445"/>
    <w:rsid w:val="00A13363"/>
    <w:rsid w:val="00A2058C"/>
    <w:rsid w:val="00A40D49"/>
    <w:rsid w:val="00A4600F"/>
    <w:rsid w:val="00A73928"/>
    <w:rsid w:val="00AA47A4"/>
    <w:rsid w:val="00AC397A"/>
    <w:rsid w:val="00AC4EAA"/>
    <w:rsid w:val="00AE386E"/>
    <w:rsid w:val="00B026DC"/>
    <w:rsid w:val="00BE5413"/>
    <w:rsid w:val="00BE7112"/>
    <w:rsid w:val="00C967B9"/>
    <w:rsid w:val="00CA45A0"/>
    <w:rsid w:val="00CF1961"/>
    <w:rsid w:val="00D32A7E"/>
    <w:rsid w:val="00D66927"/>
    <w:rsid w:val="00DC29A0"/>
    <w:rsid w:val="00E17834"/>
    <w:rsid w:val="00E23E23"/>
    <w:rsid w:val="00E33424"/>
    <w:rsid w:val="00EA2879"/>
    <w:rsid w:val="00EA53D7"/>
    <w:rsid w:val="00EF3F19"/>
    <w:rsid w:val="00F022F0"/>
    <w:rsid w:val="00F02826"/>
    <w:rsid w:val="00F17805"/>
    <w:rsid w:val="00FF406E"/>
    <w:rsid w:val="00FF5884"/>
    <w:rsid w:val="1289433D"/>
    <w:rsid w:val="22DF72E9"/>
    <w:rsid w:val="7F53750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footnote text"/>
    <w:basedOn w:val="1"/>
    <w:link w:val="12"/>
    <w:semiHidden/>
    <w:unhideWhenUsed/>
    <w:qFormat/>
    <w:uiPriority w:val="99"/>
    <w:pPr>
      <w:snapToGrid w:val="0"/>
      <w:jc w:val="left"/>
    </w:pPr>
    <w:rPr>
      <w:sz w:val="18"/>
      <w:szCs w:val="18"/>
    </w:rPr>
  </w:style>
  <w:style w:type="character" w:styleId="7">
    <w:name w:val="footnote reference"/>
    <w:basedOn w:val="6"/>
    <w:unhideWhenUsed/>
    <w:qFormat/>
    <w:uiPriority w:val="99"/>
    <w:rPr>
      <w:vertAlign w:val="superscript"/>
    </w:r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character" w:customStyle="1" w:styleId="11">
    <w:name w:val="标题 1 Char"/>
    <w:basedOn w:val="6"/>
    <w:link w:val="2"/>
    <w:qFormat/>
    <w:uiPriority w:val="9"/>
    <w:rPr>
      <w:rFonts w:ascii="Times New Roman" w:hAnsi="Times New Roman" w:eastAsia="宋体" w:cs="Times New Roman"/>
      <w:b/>
      <w:bCs/>
      <w:kern w:val="44"/>
      <w:sz w:val="44"/>
      <w:szCs w:val="44"/>
    </w:rPr>
  </w:style>
  <w:style w:type="character" w:customStyle="1" w:styleId="12">
    <w:name w:val="脚注文本 Char"/>
    <w:basedOn w:val="6"/>
    <w:link w:val="5"/>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34CA4F-F1C6-46CF-AEF1-8558C6D95D3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1302</Words>
  <Characters>7427</Characters>
  <Lines>61</Lines>
  <Paragraphs>17</Paragraphs>
  <TotalTime>14</TotalTime>
  <ScaleCrop>false</ScaleCrop>
  <LinksUpToDate>false</LinksUpToDate>
  <CharactersWithSpaces>8712</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2018-11-14T02:53:00Z</dcterms:created>
  <dc:creator>微软用户</dc:creator>
  <cp:lastModifiedBy>薇薇-小屁猴</cp:lastModifiedBy>
  <dcterms:modified xsi:type="dcterms:W3CDTF">2018-11-16T06:50:07Z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