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黑体" w:eastAsia="方正小标宋简体"/>
          <w:sz w:val="36"/>
          <w:szCs w:val="36"/>
        </w:rPr>
      </w:pPr>
      <w:bookmarkStart w:id="0" w:name="_Toc502593137"/>
      <w:r>
        <w:rPr>
          <w:rFonts w:ascii="方正小标宋简体" w:hAnsi="黑体" w:eastAsia="方正小标宋简体"/>
          <w:sz w:val="36"/>
          <w:szCs w:val="36"/>
        </w:rPr>
        <w:t>上海电机学院大学生德育 “十三五” 规划</w:t>
      </w:r>
      <w:r>
        <w:rPr>
          <w:rFonts w:hint="eastAsia" w:ascii="方正小标宋简体" w:hAnsi="黑体" w:eastAsia="方正小标宋简体"/>
          <w:sz w:val="36"/>
          <w:szCs w:val="36"/>
        </w:rPr>
        <w:t xml:space="preserve">          </w:t>
      </w:r>
      <w:r>
        <w:rPr>
          <w:rFonts w:ascii="方正小标宋简体" w:hAnsi="黑体" w:eastAsia="方正小标宋简体"/>
          <w:sz w:val="36"/>
          <w:szCs w:val="36"/>
        </w:rPr>
        <w:t>（2016-2020年）</w:t>
      </w:r>
      <w:bookmarkEnd w:id="0"/>
    </w:p>
    <w:p>
      <w:pPr>
        <w:spacing w:line="480" w:lineRule="exact"/>
        <w:jc w:val="center"/>
        <w:rPr>
          <w:rFonts w:ascii="方正小标宋简体" w:hAnsi="黑体" w:eastAsia="方正小标宋简体"/>
          <w:sz w:val="36"/>
          <w:szCs w:val="36"/>
        </w:rPr>
      </w:pPr>
      <w:r>
        <w:rPr>
          <w:rFonts w:ascii="方正小标宋简体" w:hAnsi="黑体" w:eastAsia="方正小标宋简体"/>
          <w:sz w:val="36"/>
          <w:szCs w:val="36"/>
        </w:rPr>
        <w:t>（修订稿）</w:t>
      </w:r>
      <w:bookmarkStart w:id="1" w:name="_GoBack"/>
      <w:bookmarkEnd w:id="1"/>
    </w:p>
    <w:p>
      <w:pPr>
        <w:spacing w:line="480" w:lineRule="exact"/>
        <w:jc w:val="center"/>
        <w:rPr>
          <w:rFonts w:ascii="方正小标宋简体" w:hAnsi="黑体" w:eastAsia="方正小标宋简体"/>
          <w:sz w:val="36"/>
          <w:szCs w:val="36"/>
        </w:rPr>
      </w:pPr>
    </w:p>
    <w:p>
      <w:pPr>
        <w:spacing w:line="480" w:lineRule="exact"/>
        <w:ind w:firstLine="560" w:firstLineChars="200"/>
        <w:rPr>
          <w:rFonts w:ascii="仿宋" w:hAnsi="仿宋" w:eastAsia="仿宋"/>
          <w:sz w:val="28"/>
          <w:szCs w:val="28"/>
        </w:rPr>
      </w:pPr>
      <w:r>
        <w:rPr>
          <w:rFonts w:ascii="仿宋" w:hAnsi="仿宋" w:eastAsia="仿宋"/>
          <w:sz w:val="28"/>
          <w:szCs w:val="28"/>
        </w:rPr>
        <w:t>立德树人是高校的立身之本，大学生德育工作是高校人才培养质量的重要保障。在“十三五”进入发展的关键阶段，为进一步实现培养担当民族复兴大任的时代新人的目标，深入推进我校大学生德育工作，特修订本规划。</w:t>
      </w:r>
    </w:p>
    <w:p>
      <w:pPr>
        <w:spacing w:line="480" w:lineRule="exact"/>
        <w:ind w:firstLine="560" w:firstLineChars="200"/>
        <w:rPr>
          <w:rFonts w:ascii="仿宋" w:hAnsi="仿宋" w:eastAsia="仿宋"/>
          <w:sz w:val="28"/>
          <w:szCs w:val="28"/>
        </w:rPr>
      </w:pPr>
    </w:p>
    <w:p>
      <w:pPr>
        <w:spacing w:line="480" w:lineRule="exact"/>
        <w:ind w:firstLine="640"/>
        <w:rPr>
          <w:rFonts w:ascii="黑体" w:eastAsia="黑体"/>
          <w:sz w:val="28"/>
          <w:szCs w:val="28"/>
        </w:rPr>
      </w:pPr>
      <w:r>
        <w:rPr>
          <w:rFonts w:ascii="黑体" w:eastAsia="黑体"/>
          <w:sz w:val="28"/>
          <w:szCs w:val="28"/>
        </w:rPr>
        <w:t>一、“十二五”学校德育工作回顾</w:t>
      </w:r>
    </w:p>
    <w:p>
      <w:pPr>
        <w:spacing w:line="480" w:lineRule="exact"/>
        <w:ind w:firstLine="560" w:firstLineChars="200"/>
        <w:rPr>
          <w:rFonts w:ascii="仿宋" w:hAnsi="仿宋" w:eastAsia="仿宋"/>
          <w:sz w:val="28"/>
          <w:szCs w:val="28"/>
        </w:rPr>
      </w:pPr>
      <w:r>
        <w:rPr>
          <w:rFonts w:ascii="仿宋" w:hAnsi="仿宋" w:eastAsia="仿宋"/>
          <w:sz w:val="28"/>
          <w:szCs w:val="28"/>
        </w:rPr>
        <w:t>“十二五”期间，学校办学规模有了进一步扩大，办学层次实现了研究生教育的突破，德育工作模式进一步将管理、服务、育人紧密结合起来，更加凸现了学生的主体地位。</w:t>
      </w:r>
    </w:p>
    <w:p>
      <w:pPr>
        <w:spacing w:line="480" w:lineRule="exact"/>
        <w:ind w:firstLine="641"/>
        <w:rPr>
          <w:rFonts w:ascii="楷体_GB2312" w:eastAsia="楷体_GB2312"/>
          <w:sz w:val="28"/>
          <w:szCs w:val="28"/>
        </w:rPr>
      </w:pPr>
      <w:r>
        <w:rPr>
          <w:rFonts w:ascii="楷体_GB2312" w:eastAsia="楷体_GB2312"/>
          <w:sz w:val="28"/>
          <w:szCs w:val="28"/>
        </w:rPr>
        <w:t>（一）主要成绩</w:t>
      </w:r>
    </w:p>
    <w:p>
      <w:pPr>
        <w:spacing w:line="480" w:lineRule="exact"/>
        <w:ind w:firstLine="641"/>
        <w:rPr>
          <w:rFonts w:ascii="仿宋" w:hAnsi="仿宋" w:eastAsia="仿宋"/>
          <w:sz w:val="28"/>
          <w:szCs w:val="28"/>
        </w:rPr>
      </w:pPr>
      <w:r>
        <w:rPr>
          <w:rFonts w:ascii="仿宋" w:hAnsi="仿宋" w:eastAsia="仿宋"/>
          <w:sz w:val="28"/>
          <w:szCs w:val="28"/>
        </w:rPr>
        <w:t>1.德育工作内涵不断深化</w:t>
      </w:r>
    </w:p>
    <w:p>
      <w:pPr>
        <w:spacing w:line="480" w:lineRule="exact"/>
        <w:ind w:firstLine="640"/>
        <w:rPr>
          <w:rFonts w:ascii="仿宋" w:hAnsi="仿宋" w:eastAsia="仿宋"/>
          <w:sz w:val="28"/>
          <w:szCs w:val="28"/>
        </w:rPr>
      </w:pPr>
      <w:r>
        <w:rPr>
          <w:rFonts w:ascii="仿宋" w:hAnsi="仿宋" w:eastAsia="仿宋"/>
          <w:sz w:val="28"/>
          <w:szCs w:val="28"/>
        </w:rPr>
        <w:t>在做好大学生心理健康教育、审美意识教育、人文科学教育、社会实践教育和现代观念教育等方面的基础上，加强大学生的道德教育、民主法制教育，树立公民意识；深化思想教育和政治教育，树立正确的世界观、人生观、价值观，保持正确的政治立场和政治态度，坚定理想信念和爱国情怀，使大学生成长为社会主义现代化建设需要的合格人才。</w:t>
      </w:r>
    </w:p>
    <w:p>
      <w:pPr>
        <w:spacing w:line="480" w:lineRule="exact"/>
        <w:ind w:firstLine="641"/>
        <w:rPr>
          <w:rFonts w:ascii="仿宋" w:hAnsi="仿宋" w:eastAsia="仿宋"/>
          <w:sz w:val="28"/>
          <w:szCs w:val="28"/>
        </w:rPr>
      </w:pPr>
      <w:r>
        <w:rPr>
          <w:rFonts w:ascii="仿宋" w:hAnsi="仿宋" w:eastAsia="仿宋"/>
          <w:sz w:val="28"/>
          <w:szCs w:val="28"/>
        </w:rPr>
        <w:t>2.德育工作体制机制不断健全</w:t>
      </w:r>
    </w:p>
    <w:p>
      <w:pPr>
        <w:spacing w:line="480" w:lineRule="exact"/>
        <w:ind w:firstLine="640"/>
        <w:rPr>
          <w:rFonts w:ascii="仿宋" w:hAnsi="仿宋" w:eastAsia="仿宋"/>
          <w:sz w:val="28"/>
          <w:szCs w:val="28"/>
        </w:rPr>
      </w:pPr>
      <w:r>
        <w:rPr>
          <w:rFonts w:ascii="仿宋" w:hAnsi="仿宋" w:eastAsia="仿宋"/>
          <w:sz w:val="28"/>
          <w:szCs w:val="28"/>
        </w:rPr>
        <w:t>学校党委始终把德育工作放在学生培养的首要位置，出台了《</w:t>
      </w:r>
      <w:r>
        <w:fldChar w:fldCharType="begin"/>
      </w:r>
      <w:r>
        <w:instrText xml:space="preserve"> HYPERLINK "http://fzghc.sdju.edu.cn/default.php?mod=article&amp;do=detail&amp;tid=74" </w:instrText>
      </w:r>
      <w:r>
        <w:fldChar w:fldCharType="separate"/>
      </w:r>
      <w:r>
        <w:rPr>
          <w:rFonts w:ascii="仿宋" w:hAnsi="仿宋" w:eastAsia="仿宋"/>
          <w:sz w:val="28"/>
          <w:szCs w:val="28"/>
        </w:rPr>
        <w:t>上海电机学院“十二五”德育规划（2011-2015年）</w:t>
      </w:r>
      <w:r>
        <w:rPr>
          <w:rFonts w:ascii="仿宋" w:hAnsi="仿宋" w:eastAsia="仿宋"/>
          <w:sz w:val="28"/>
          <w:szCs w:val="28"/>
        </w:rPr>
        <w:fldChar w:fldCharType="end"/>
      </w:r>
      <w:r>
        <w:rPr>
          <w:rFonts w:ascii="仿宋" w:hAnsi="仿宋" w:eastAsia="仿宋"/>
          <w:sz w:val="28"/>
          <w:szCs w:val="28"/>
        </w:rPr>
        <w:t>》、《上海电机学院大学生德育评价办法》、《上海电机学院学生思政教育工作绩效考核办法（试行）》等文件，成立了“上海电机学院大学生思想政治教育工作领导小组”，形成了院系党总支书记负总责，党总支副书记具体分管，学校各部门共同分工负责，全员育人、全方位育人、全过程育人的良性运行机制。学校党政领导通过辅导员季度座谈会、学生座谈会建立了同辅导员、大学生的长效沟通机制。学校探索建立了班导师制度，在指导学业的同时，更加注重学科育人。</w:t>
      </w:r>
    </w:p>
    <w:p>
      <w:pPr>
        <w:spacing w:line="480" w:lineRule="exact"/>
        <w:ind w:firstLine="641"/>
        <w:rPr>
          <w:rFonts w:ascii="仿宋" w:hAnsi="仿宋" w:eastAsia="仿宋"/>
          <w:sz w:val="28"/>
          <w:szCs w:val="28"/>
        </w:rPr>
      </w:pPr>
      <w:r>
        <w:rPr>
          <w:rFonts w:ascii="仿宋" w:hAnsi="仿宋" w:eastAsia="仿宋"/>
          <w:sz w:val="28"/>
          <w:szCs w:val="28"/>
        </w:rPr>
        <w:t>3.德育队伍建设成效凸显</w:t>
      </w:r>
    </w:p>
    <w:p>
      <w:pPr>
        <w:spacing w:line="480" w:lineRule="exact"/>
        <w:ind w:firstLine="640"/>
        <w:rPr>
          <w:rFonts w:ascii="仿宋" w:hAnsi="仿宋" w:eastAsia="仿宋"/>
          <w:sz w:val="28"/>
          <w:szCs w:val="28"/>
        </w:rPr>
      </w:pPr>
      <w:r>
        <w:rPr>
          <w:rFonts w:ascii="仿宋" w:hAnsi="仿宋" w:eastAsia="仿宋"/>
          <w:sz w:val="28"/>
          <w:szCs w:val="28"/>
        </w:rPr>
        <w:t>学校进一步贯彻落实《上海电机学院学生思想政治教育队伍选拔聘任办法》《上海电机学院学生思想政治教育队伍岗位职责》《</w:t>
      </w:r>
      <w:r>
        <w:fldChar w:fldCharType="begin"/>
      </w:r>
      <w:r>
        <w:instrText xml:space="preserve"> HYPERLINK \l "bookmark" </w:instrText>
      </w:r>
      <w:r>
        <w:fldChar w:fldCharType="separate"/>
      </w:r>
      <w:r>
        <w:rPr>
          <w:rFonts w:ascii="仿宋" w:hAnsi="仿宋" w:eastAsia="仿宋"/>
          <w:sz w:val="28"/>
          <w:szCs w:val="28"/>
        </w:rPr>
        <w:t>上海电机学院学生思想政治教育队伍工作考核办法</w:t>
      </w:r>
      <w:r>
        <w:rPr>
          <w:rFonts w:ascii="仿宋" w:hAnsi="仿宋" w:eastAsia="仿宋"/>
          <w:sz w:val="28"/>
          <w:szCs w:val="28"/>
        </w:rPr>
        <w:fldChar w:fldCharType="end"/>
      </w:r>
      <w:r>
        <w:rPr>
          <w:rFonts w:ascii="仿宋" w:hAnsi="仿宋" w:eastAsia="仿宋"/>
          <w:sz w:val="28"/>
          <w:szCs w:val="28"/>
        </w:rPr>
        <w:t>》《</w:t>
      </w:r>
      <w:r>
        <w:fldChar w:fldCharType="begin"/>
      </w:r>
      <w:r>
        <w:instrText xml:space="preserve"> HYPERLINK \l "bookmark1" </w:instrText>
      </w:r>
      <w:r>
        <w:fldChar w:fldCharType="separate"/>
      </w:r>
      <w:r>
        <w:rPr>
          <w:rFonts w:ascii="仿宋" w:hAnsi="仿宋" w:eastAsia="仿宋"/>
          <w:sz w:val="28"/>
          <w:szCs w:val="28"/>
        </w:rPr>
        <w:t>上海电机学院学生思想政治教育队伍培养办法</w:t>
      </w:r>
      <w:r>
        <w:rPr>
          <w:rFonts w:ascii="仿宋" w:hAnsi="仿宋" w:eastAsia="仿宋"/>
          <w:sz w:val="28"/>
          <w:szCs w:val="28"/>
        </w:rPr>
        <w:fldChar w:fldCharType="end"/>
      </w:r>
      <w:r>
        <w:rPr>
          <w:rFonts w:ascii="仿宋" w:hAnsi="仿宋" w:eastAsia="仿宋"/>
          <w:sz w:val="28"/>
          <w:szCs w:val="28"/>
        </w:rPr>
        <w:t>》《上海电机学院学生思想政治教师职务聘任办法》等文件，保证、巩固和扩大了德育队伍建设的成果。通过辅导员协会建设，进一步形成以辅导员为主体、班主任以及其他德育工作者协同育人的整体合力。2014年，学校出台了《上海电机学院辅导员绩效工资实施及考核办法》等文件，为科学、规范进行辅导员队伍建设提供了保障。“十二五”期间，我校先后多次在上海市辅导员论坛、上海市辅导员素质拓展活动中获奖，我校辅导员先后获得上海市“育才奖”、上海市“三八红旗手”、上海市辅导员年度人物“提名奖”等荣誉称号。</w:t>
      </w:r>
    </w:p>
    <w:p>
      <w:pPr>
        <w:spacing w:line="480" w:lineRule="exact"/>
        <w:ind w:firstLine="640"/>
        <w:rPr>
          <w:rFonts w:ascii="仿宋" w:hAnsi="仿宋" w:eastAsia="仿宋"/>
          <w:sz w:val="28"/>
          <w:szCs w:val="28"/>
        </w:rPr>
      </w:pPr>
      <w:r>
        <w:rPr>
          <w:rFonts w:ascii="仿宋" w:hAnsi="仿宋" w:eastAsia="仿宋"/>
          <w:sz w:val="28"/>
          <w:szCs w:val="28"/>
        </w:rPr>
        <w:t>4.德育实践育人成果不断丰富</w:t>
      </w:r>
    </w:p>
    <w:p>
      <w:pPr>
        <w:spacing w:line="480" w:lineRule="exact"/>
        <w:ind w:firstLine="640"/>
        <w:rPr>
          <w:rFonts w:ascii="仿宋" w:hAnsi="仿宋" w:eastAsia="仿宋"/>
          <w:sz w:val="28"/>
          <w:szCs w:val="28"/>
        </w:rPr>
      </w:pPr>
      <w:r>
        <w:rPr>
          <w:rFonts w:ascii="仿宋" w:hAnsi="仿宋" w:eastAsia="仿宋"/>
          <w:sz w:val="28"/>
          <w:szCs w:val="28"/>
        </w:rPr>
        <w:t>“十二五”期间，学校统筹规划思想政治理论课教学和日常思想政治教育工作，德育实践和德育理论的研究不断深化，德育内涵体系不断深化，创新德育方式方法，营造德育工作的良好氛围，德育实践育人成果丰富，学校先后荣获上海市“五四”红旗团委、第八届“挑战杯”中国大学生创业计划竞赛金奖、全国大学生职场礼仪大赛金奖、上海市“三支一扶”工作先进集体、上海市“十佳”易班工作站等荣誉称号。</w:t>
      </w:r>
    </w:p>
    <w:p>
      <w:pPr>
        <w:spacing w:line="480" w:lineRule="exact"/>
        <w:ind w:firstLine="641"/>
        <w:rPr>
          <w:rFonts w:ascii="楷体_GB2312" w:eastAsia="楷体_GB2312"/>
          <w:sz w:val="28"/>
          <w:szCs w:val="28"/>
        </w:rPr>
      </w:pPr>
      <w:r>
        <w:rPr>
          <w:rFonts w:ascii="楷体_GB2312" w:eastAsia="楷体_GB2312"/>
          <w:sz w:val="28"/>
          <w:szCs w:val="28"/>
        </w:rPr>
        <w:t>（二）突出问题</w:t>
      </w:r>
    </w:p>
    <w:p>
      <w:pPr>
        <w:spacing w:line="480" w:lineRule="exact"/>
        <w:ind w:firstLine="640"/>
        <w:rPr>
          <w:rFonts w:ascii="仿宋" w:hAnsi="仿宋" w:eastAsia="仿宋"/>
          <w:sz w:val="28"/>
          <w:szCs w:val="28"/>
        </w:rPr>
      </w:pPr>
      <w:r>
        <w:rPr>
          <w:rFonts w:ascii="仿宋" w:hAnsi="仿宋" w:eastAsia="仿宋"/>
          <w:sz w:val="28"/>
          <w:szCs w:val="28"/>
        </w:rPr>
        <w:t>“十二五”期间，学校德育工作虽然取得了丰富的成绩，但在新形势下，学校目前的德育工作与促进学生全面成长成才、服务学校全面发展、培养适应社会经济发展需求的人才相比还存在一定的差距，主要表现在：</w:t>
      </w:r>
    </w:p>
    <w:p>
      <w:pPr>
        <w:spacing w:line="480" w:lineRule="exact"/>
        <w:ind w:firstLine="641"/>
        <w:rPr>
          <w:rFonts w:ascii="仿宋" w:hAnsi="仿宋" w:eastAsia="仿宋"/>
          <w:sz w:val="28"/>
          <w:szCs w:val="28"/>
        </w:rPr>
      </w:pPr>
      <w:r>
        <w:rPr>
          <w:rFonts w:ascii="仿宋" w:hAnsi="仿宋" w:eastAsia="仿宋"/>
          <w:sz w:val="28"/>
          <w:szCs w:val="28"/>
        </w:rPr>
        <w:t>1.德育文化建设有待进一步加强</w:t>
      </w:r>
    </w:p>
    <w:p>
      <w:pPr>
        <w:spacing w:line="480" w:lineRule="exact"/>
        <w:ind w:firstLine="640"/>
        <w:rPr>
          <w:rFonts w:ascii="仿宋" w:hAnsi="仿宋" w:eastAsia="仿宋"/>
          <w:sz w:val="28"/>
          <w:szCs w:val="28"/>
        </w:rPr>
      </w:pPr>
      <w:r>
        <w:rPr>
          <w:rFonts w:ascii="仿宋" w:hAnsi="仿宋" w:eastAsia="仿宋"/>
          <w:sz w:val="28"/>
          <w:szCs w:val="28"/>
        </w:rPr>
        <w:t>学校德育文化对学生成长成才的影响日益受到重视。学校有意识地开展大量工作打造学校德育文化，并注重将这一工作融入德育工作中，但还不够深入、全面和细致。学校在“培养高等技术应用型人才”方面形成的德育文化和德育氛围与学生特色素质的培养衔接还存在一定的差距，需要在今后的德育工作中进一步加强和完善。</w:t>
      </w:r>
    </w:p>
    <w:p>
      <w:pPr>
        <w:spacing w:line="480" w:lineRule="exact"/>
        <w:ind w:firstLine="641"/>
        <w:rPr>
          <w:rFonts w:ascii="仿宋" w:hAnsi="仿宋" w:eastAsia="仿宋"/>
          <w:sz w:val="28"/>
          <w:szCs w:val="28"/>
        </w:rPr>
      </w:pPr>
      <w:r>
        <w:rPr>
          <w:rFonts w:ascii="仿宋" w:hAnsi="仿宋" w:eastAsia="仿宋"/>
          <w:sz w:val="28"/>
          <w:szCs w:val="28"/>
        </w:rPr>
        <w:t>2.德育渠道有待进一步拓展</w:t>
      </w:r>
    </w:p>
    <w:p>
      <w:pPr>
        <w:spacing w:line="480" w:lineRule="exact"/>
        <w:ind w:firstLine="640"/>
        <w:rPr>
          <w:rFonts w:ascii="仿宋" w:hAnsi="仿宋" w:eastAsia="仿宋"/>
          <w:sz w:val="28"/>
          <w:szCs w:val="28"/>
        </w:rPr>
      </w:pPr>
      <w:r>
        <w:rPr>
          <w:rFonts w:ascii="仿宋" w:hAnsi="仿宋" w:eastAsia="仿宋"/>
          <w:sz w:val="28"/>
          <w:szCs w:val="28"/>
        </w:rPr>
        <w:t>随着信息技术的快速发展，特别是新媒体、自媒体的不断更新换代，学校在新媒介的拓展速度、空间覆盖、网络舆情掌控、话语权掌握等方面还存在一定的滞后性，在新媒介与德育工作的有机融合方面还需要探索新的有效模式。</w:t>
      </w:r>
    </w:p>
    <w:p>
      <w:pPr>
        <w:spacing w:line="480" w:lineRule="exact"/>
        <w:ind w:firstLine="641"/>
        <w:rPr>
          <w:rFonts w:ascii="仿宋" w:hAnsi="仿宋" w:eastAsia="仿宋"/>
          <w:sz w:val="28"/>
          <w:szCs w:val="28"/>
        </w:rPr>
      </w:pPr>
      <w:r>
        <w:rPr>
          <w:rFonts w:ascii="仿宋" w:hAnsi="仿宋" w:eastAsia="仿宋"/>
          <w:sz w:val="28"/>
          <w:szCs w:val="28"/>
        </w:rPr>
        <w:t>3.大学生自主教育意识有待于进一步强化</w:t>
      </w:r>
    </w:p>
    <w:p>
      <w:pPr>
        <w:spacing w:line="480" w:lineRule="exact"/>
        <w:ind w:firstLine="640"/>
        <w:rPr>
          <w:rFonts w:ascii="仿宋" w:hAnsi="仿宋" w:eastAsia="仿宋"/>
          <w:sz w:val="28"/>
          <w:szCs w:val="28"/>
        </w:rPr>
      </w:pPr>
      <w:r>
        <w:rPr>
          <w:rFonts w:ascii="仿宋" w:hAnsi="仿宋" w:eastAsia="仿宋"/>
          <w:sz w:val="28"/>
          <w:szCs w:val="28"/>
        </w:rPr>
        <w:t>我校学生在德育工作中主动性作用的发挥有待进一步加强，学生自组织、自媒体的建设需要加强引导，学生领袖需要加强培养指导，从而使学生在德育工作中的主体地位和主体作用更好地发挥，进一步实现自我教育、自我管理和自我服务。</w:t>
      </w:r>
    </w:p>
    <w:p>
      <w:pPr>
        <w:spacing w:line="480" w:lineRule="exact"/>
        <w:ind w:firstLine="640"/>
        <w:rPr>
          <w:rFonts w:ascii="仿宋" w:hAnsi="仿宋" w:eastAsia="仿宋"/>
          <w:sz w:val="28"/>
          <w:szCs w:val="28"/>
        </w:rPr>
      </w:pPr>
    </w:p>
    <w:p>
      <w:pPr>
        <w:spacing w:line="480" w:lineRule="exact"/>
        <w:ind w:firstLine="640"/>
        <w:rPr>
          <w:rFonts w:ascii="黑体" w:eastAsia="黑体"/>
          <w:sz w:val="28"/>
          <w:szCs w:val="28"/>
        </w:rPr>
      </w:pPr>
      <w:r>
        <w:rPr>
          <w:rFonts w:ascii="仿宋" w:hAnsi="仿宋" w:eastAsia="仿宋"/>
          <w:sz w:val="28"/>
          <w:szCs w:val="28"/>
        </w:rPr>
        <w:tab/>
      </w:r>
      <w:r>
        <w:rPr>
          <w:rFonts w:ascii="黑体" w:eastAsia="黑体"/>
          <w:sz w:val="28"/>
          <w:szCs w:val="28"/>
        </w:rPr>
        <w:t>二、指导思想及工作原则</w:t>
      </w:r>
    </w:p>
    <w:p>
      <w:pPr>
        <w:spacing w:line="480" w:lineRule="exact"/>
        <w:ind w:firstLine="641"/>
        <w:rPr>
          <w:rFonts w:ascii="楷体_GB2312" w:eastAsia="楷体_GB2312"/>
          <w:sz w:val="28"/>
          <w:szCs w:val="28"/>
        </w:rPr>
      </w:pPr>
      <w:r>
        <w:rPr>
          <w:rFonts w:ascii="楷体_GB2312" w:eastAsia="楷体_GB2312"/>
          <w:sz w:val="28"/>
          <w:szCs w:val="28"/>
        </w:rPr>
        <w:t>（一）指导思想</w:t>
      </w:r>
    </w:p>
    <w:p>
      <w:pPr>
        <w:spacing w:line="480" w:lineRule="exact"/>
        <w:ind w:firstLine="640"/>
        <w:rPr>
          <w:rFonts w:ascii="仿宋" w:hAnsi="仿宋" w:eastAsia="仿宋"/>
          <w:sz w:val="28"/>
          <w:szCs w:val="28"/>
        </w:rPr>
      </w:pPr>
      <w:r>
        <w:rPr>
          <w:rFonts w:ascii="仿宋" w:hAnsi="仿宋" w:eastAsia="仿宋"/>
          <w:sz w:val="28"/>
          <w:szCs w:val="28"/>
        </w:rPr>
        <w:t>以马克思列宁主义、毛泽东思想、邓小平理论、“三个代表”重要思想和科学发展观为指导，全面贯彻党的教育方针，深入贯彻学习习近平新时代中国特色社会主义理论，坚持社会主义核心价值观的引领，在《关于加强和改进新形势下的宣传思想工作的意见》（中办[2014]59号）、全国高校思想政治工作会议精神、《国家中长期教育改革和发展规划纲要</w:t>
      </w:r>
      <w:r>
        <w:rPr>
          <w:rFonts w:hint="eastAsia" w:ascii="仿宋" w:hAnsi="仿宋" w:eastAsia="仿宋"/>
          <w:sz w:val="28"/>
          <w:szCs w:val="28"/>
        </w:rPr>
        <w:t>（2010-2020）</w:t>
      </w:r>
      <w:r>
        <w:rPr>
          <w:rFonts w:ascii="仿宋" w:hAnsi="仿宋" w:eastAsia="仿宋"/>
          <w:sz w:val="28"/>
          <w:szCs w:val="28"/>
        </w:rPr>
        <w:t>》、《高校思想政治工作质量提升工程实施纲要》、《上海市中长期教育改革和发展规划纲要</w:t>
      </w:r>
      <w:r>
        <w:rPr>
          <w:rFonts w:hint="eastAsia" w:ascii="仿宋" w:hAnsi="仿宋" w:eastAsia="仿宋"/>
          <w:sz w:val="28"/>
          <w:szCs w:val="28"/>
        </w:rPr>
        <w:t>（2010-2020）</w:t>
      </w:r>
      <w:r>
        <w:rPr>
          <w:rFonts w:ascii="仿宋" w:hAnsi="仿宋" w:eastAsia="仿宋"/>
          <w:sz w:val="28"/>
          <w:szCs w:val="28"/>
        </w:rPr>
        <w:t>》和《上海电机学院中长期改革和发展规划纲要</w:t>
      </w:r>
      <w:r>
        <w:rPr>
          <w:rFonts w:hint="eastAsia" w:ascii="仿宋" w:hAnsi="仿宋" w:eastAsia="仿宋"/>
          <w:sz w:val="28"/>
          <w:szCs w:val="28"/>
        </w:rPr>
        <w:t>（2010-2020）</w:t>
      </w:r>
      <w:r>
        <w:rPr>
          <w:rFonts w:ascii="仿宋" w:hAnsi="仿宋" w:eastAsia="仿宋"/>
          <w:sz w:val="28"/>
          <w:szCs w:val="28"/>
        </w:rPr>
        <w:t>》的指导下，围绕“培养什么人”“如何培养人”的核心问题，坚持育人为本、德育为先，进一步加强和改进大学生德育工作，培养担当民族复兴大任的时代新人。</w:t>
      </w:r>
    </w:p>
    <w:p>
      <w:pPr>
        <w:spacing w:line="480" w:lineRule="exact"/>
        <w:ind w:firstLine="641"/>
        <w:rPr>
          <w:rFonts w:ascii="楷体_GB2312" w:eastAsia="楷体_GB2312"/>
          <w:sz w:val="28"/>
          <w:szCs w:val="28"/>
        </w:rPr>
      </w:pPr>
      <w:r>
        <w:rPr>
          <w:rFonts w:ascii="楷体_GB2312" w:eastAsia="楷体_GB2312"/>
          <w:sz w:val="28"/>
          <w:szCs w:val="28"/>
        </w:rPr>
        <w:t>（二）工作原则</w:t>
      </w:r>
    </w:p>
    <w:p>
      <w:pPr>
        <w:spacing w:line="480" w:lineRule="exact"/>
        <w:ind w:firstLine="641"/>
        <w:rPr>
          <w:rFonts w:ascii="仿宋" w:hAnsi="仿宋" w:eastAsia="仿宋"/>
          <w:sz w:val="28"/>
          <w:szCs w:val="28"/>
        </w:rPr>
      </w:pPr>
      <w:r>
        <w:rPr>
          <w:rFonts w:ascii="仿宋" w:hAnsi="仿宋" w:eastAsia="仿宋"/>
          <w:sz w:val="28"/>
          <w:szCs w:val="28"/>
        </w:rPr>
        <w:t>1.《章程》驱动，打造大学生德育工作特色</w:t>
      </w:r>
    </w:p>
    <w:p>
      <w:pPr>
        <w:spacing w:line="480" w:lineRule="exact"/>
        <w:ind w:firstLine="640"/>
        <w:rPr>
          <w:rFonts w:ascii="仿宋" w:hAnsi="仿宋" w:eastAsia="仿宋"/>
          <w:sz w:val="28"/>
          <w:szCs w:val="28"/>
        </w:rPr>
      </w:pPr>
      <w:r>
        <w:rPr>
          <w:rFonts w:ascii="仿宋" w:hAnsi="仿宋" w:eastAsia="仿宋"/>
          <w:sz w:val="28"/>
          <w:szCs w:val="28"/>
        </w:rPr>
        <w:t>以《上海电机学院章程》为驱动力，进一步规范德育工作，明确德育工作的原则和流程，结合学校“技术立校，应用为本”的办学方略，形成具有学校特色的德育工作体系。</w:t>
      </w:r>
    </w:p>
    <w:p>
      <w:pPr>
        <w:spacing w:line="480" w:lineRule="exact"/>
        <w:ind w:firstLine="641"/>
        <w:rPr>
          <w:rFonts w:ascii="仿宋" w:hAnsi="仿宋" w:eastAsia="仿宋"/>
          <w:sz w:val="28"/>
          <w:szCs w:val="28"/>
        </w:rPr>
      </w:pPr>
      <w:r>
        <w:rPr>
          <w:rFonts w:ascii="仿宋" w:hAnsi="仿宋" w:eastAsia="仿宋"/>
          <w:sz w:val="28"/>
          <w:szCs w:val="28"/>
        </w:rPr>
        <w:t>2.以生为本，实施依法治校制度</w:t>
      </w:r>
    </w:p>
    <w:p>
      <w:pPr>
        <w:spacing w:line="480" w:lineRule="exact"/>
        <w:ind w:firstLine="640"/>
        <w:rPr>
          <w:rFonts w:ascii="仿宋" w:hAnsi="仿宋" w:eastAsia="仿宋"/>
          <w:sz w:val="28"/>
          <w:szCs w:val="28"/>
        </w:rPr>
      </w:pPr>
      <w:r>
        <w:rPr>
          <w:rFonts w:ascii="仿宋" w:hAnsi="仿宋" w:eastAsia="仿宋"/>
          <w:sz w:val="28"/>
          <w:szCs w:val="28"/>
        </w:rPr>
        <w:t>以学生的终身发展为目标，以学生的实际需求为出发点，以培养合格人才为落脚点，树立依法治校的育人思维，落实依法治校的育人模式。</w:t>
      </w:r>
    </w:p>
    <w:p>
      <w:pPr>
        <w:spacing w:line="480" w:lineRule="exact"/>
        <w:ind w:firstLine="641"/>
        <w:rPr>
          <w:rFonts w:ascii="仿宋" w:hAnsi="仿宋" w:eastAsia="仿宋"/>
          <w:sz w:val="28"/>
          <w:szCs w:val="28"/>
        </w:rPr>
      </w:pPr>
      <w:r>
        <w:rPr>
          <w:rFonts w:ascii="仿宋" w:hAnsi="仿宋" w:eastAsia="仿宋"/>
          <w:sz w:val="28"/>
          <w:szCs w:val="28"/>
        </w:rPr>
        <w:t>3.二级管理，推动管理重心下移</w:t>
      </w:r>
    </w:p>
    <w:p>
      <w:pPr>
        <w:spacing w:line="480" w:lineRule="exact"/>
        <w:ind w:firstLine="640"/>
        <w:rPr>
          <w:rFonts w:ascii="仿宋" w:hAnsi="仿宋" w:eastAsia="仿宋"/>
          <w:sz w:val="28"/>
          <w:szCs w:val="28"/>
        </w:rPr>
      </w:pPr>
      <w:r>
        <w:rPr>
          <w:rFonts w:ascii="仿宋" w:hAnsi="仿宋" w:eastAsia="仿宋"/>
          <w:sz w:val="28"/>
          <w:szCs w:val="28"/>
        </w:rPr>
        <w:t>增强二级学院德育工作的自主权和灵活性，推动德育工作重心下移，形成以“宏观调控，微观激活”为特征的校、院两级德育管理体制。逐渐规范二级学院德育工作的自主管理模式，不断提升管理水平，实行目标责任制管理。</w:t>
      </w:r>
    </w:p>
    <w:p>
      <w:pPr>
        <w:spacing w:line="480" w:lineRule="exact"/>
        <w:ind w:firstLine="641"/>
        <w:rPr>
          <w:rFonts w:ascii="仿宋" w:hAnsi="仿宋" w:eastAsia="仿宋"/>
          <w:sz w:val="28"/>
          <w:szCs w:val="28"/>
        </w:rPr>
      </w:pPr>
      <w:r>
        <w:rPr>
          <w:rFonts w:ascii="仿宋" w:hAnsi="仿宋" w:eastAsia="仿宋"/>
          <w:sz w:val="28"/>
          <w:szCs w:val="28"/>
        </w:rPr>
        <w:t>4.形成合力，构建全员全过程全方位育人格局</w:t>
      </w:r>
    </w:p>
    <w:p>
      <w:pPr>
        <w:spacing w:line="480" w:lineRule="exact"/>
        <w:ind w:firstLine="640"/>
        <w:rPr>
          <w:rFonts w:ascii="仿宋" w:hAnsi="仿宋" w:eastAsia="仿宋"/>
          <w:sz w:val="28"/>
          <w:szCs w:val="28"/>
        </w:rPr>
      </w:pPr>
      <w:r>
        <w:rPr>
          <w:rFonts w:ascii="仿宋" w:hAnsi="仿宋" w:eastAsia="仿宋"/>
          <w:sz w:val="28"/>
          <w:szCs w:val="28"/>
        </w:rPr>
        <w:t>增强全员参与意识，明确育人职责，推动全体教职工共同自觉承担育人机制的形成和落实，重视和引导学生开展朋辈互助与自我教育，提高大学生德育工作的亲和力和针对性，构建全员全过程全方位育人格局。</w:t>
      </w:r>
    </w:p>
    <w:p>
      <w:pPr>
        <w:spacing w:line="480" w:lineRule="exact"/>
        <w:ind w:firstLine="641"/>
        <w:rPr>
          <w:rFonts w:ascii="仿宋" w:hAnsi="仿宋" w:eastAsia="仿宋"/>
          <w:sz w:val="28"/>
          <w:szCs w:val="28"/>
        </w:rPr>
      </w:pPr>
      <w:r>
        <w:rPr>
          <w:rFonts w:ascii="仿宋" w:hAnsi="仿宋" w:eastAsia="仿宋"/>
          <w:sz w:val="28"/>
          <w:szCs w:val="28"/>
        </w:rPr>
        <w:t>5.创新机制，发挥网络育人功能</w:t>
      </w:r>
    </w:p>
    <w:p>
      <w:pPr>
        <w:spacing w:line="480" w:lineRule="exact"/>
        <w:ind w:firstLine="640"/>
        <w:rPr>
          <w:rFonts w:ascii="仿宋" w:hAnsi="仿宋" w:eastAsia="仿宋"/>
          <w:sz w:val="28"/>
          <w:szCs w:val="28"/>
        </w:rPr>
      </w:pPr>
      <w:r>
        <w:rPr>
          <w:rFonts w:ascii="仿宋" w:hAnsi="仿宋" w:eastAsia="仿宋"/>
          <w:sz w:val="28"/>
          <w:szCs w:val="28"/>
        </w:rPr>
        <w:t>注重研判德育工作新形势和新任务，分析新时期大学生的基本特点，充分利用网络思政平台，发挥网络思政的育人功能，增强网络思政的育人效果。</w:t>
      </w:r>
    </w:p>
    <w:p>
      <w:pPr>
        <w:spacing w:line="480" w:lineRule="exact"/>
        <w:ind w:firstLine="640"/>
        <w:rPr>
          <w:rFonts w:ascii="仿宋" w:hAnsi="仿宋" w:eastAsia="仿宋"/>
          <w:sz w:val="28"/>
          <w:szCs w:val="28"/>
        </w:rPr>
      </w:pPr>
    </w:p>
    <w:p>
      <w:pPr>
        <w:spacing w:line="480" w:lineRule="exact"/>
        <w:ind w:firstLine="640"/>
        <w:rPr>
          <w:rFonts w:ascii="黑体" w:eastAsia="黑体"/>
          <w:sz w:val="28"/>
          <w:szCs w:val="28"/>
        </w:rPr>
      </w:pPr>
      <w:r>
        <w:rPr>
          <w:rFonts w:ascii="黑体" w:eastAsia="黑体"/>
          <w:sz w:val="28"/>
          <w:szCs w:val="28"/>
        </w:rPr>
        <w:t>三、总体发展目标及具体指标</w:t>
      </w:r>
    </w:p>
    <w:p>
      <w:pPr>
        <w:spacing w:line="480" w:lineRule="exact"/>
        <w:ind w:firstLine="641"/>
        <w:rPr>
          <w:rFonts w:ascii="楷体_GB2312" w:eastAsia="楷体_GB2312"/>
          <w:sz w:val="28"/>
          <w:szCs w:val="28"/>
        </w:rPr>
      </w:pPr>
      <w:r>
        <w:rPr>
          <w:rFonts w:ascii="楷体_GB2312" w:eastAsia="楷体_GB2312"/>
          <w:sz w:val="28"/>
          <w:szCs w:val="28"/>
        </w:rPr>
        <w:t>（一）总体目标</w:t>
      </w:r>
    </w:p>
    <w:p>
      <w:pPr>
        <w:spacing w:line="480" w:lineRule="exact"/>
        <w:ind w:firstLine="640"/>
        <w:rPr>
          <w:rFonts w:ascii="仿宋" w:hAnsi="仿宋" w:eastAsia="仿宋"/>
          <w:sz w:val="28"/>
          <w:szCs w:val="28"/>
        </w:rPr>
      </w:pPr>
      <w:r>
        <w:rPr>
          <w:rFonts w:ascii="仿宋" w:hAnsi="仿宋" w:eastAsia="仿宋"/>
          <w:sz w:val="28"/>
          <w:szCs w:val="28"/>
        </w:rPr>
        <w:t>着眼于促进每一个学生的终身发展，引导学生树立正确的历史观、民族观、国家观、文化观，努力培养社会主义可靠接班人和合格建设者；积极培育和践行社会主义核心价值观，继承和发扬中华优秀传统文化，不断提升大学生的文化自信；打造一支具有素质高、业务精、创新精神强、与时俱进的思想政治教育队伍，构建适应“卓越的高层次技术应用人才”培养要求的大学生德育工作体制。</w:t>
      </w:r>
    </w:p>
    <w:p>
      <w:pPr>
        <w:spacing w:line="480" w:lineRule="exact"/>
        <w:ind w:firstLine="641"/>
        <w:rPr>
          <w:rFonts w:ascii="楷体_GB2312" w:eastAsia="楷体_GB2312"/>
          <w:sz w:val="28"/>
          <w:szCs w:val="28"/>
        </w:rPr>
      </w:pPr>
      <w:r>
        <w:rPr>
          <w:rFonts w:ascii="楷体_GB2312" w:eastAsia="楷体_GB2312"/>
          <w:sz w:val="28"/>
          <w:szCs w:val="28"/>
        </w:rPr>
        <w:t>（二）具体目标</w:t>
      </w:r>
    </w:p>
    <w:p>
      <w:pPr>
        <w:spacing w:line="480" w:lineRule="exact"/>
        <w:ind w:firstLine="641"/>
        <w:rPr>
          <w:rFonts w:ascii="仿宋" w:hAnsi="仿宋" w:eastAsia="仿宋"/>
          <w:sz w:val="28"/>
          <w:szCs w:val="28"/>
        </w:rPr>
      </w:pPr>
      <w:r>
        <w:rPr>
          <w:rFonts w:ascii="仿宋" w:hAnsi="仿宋" w:eastAsia="仿宋"/>
          <w:sz w:val="28"/>
          <w:szCs w:val="28"/>
        </w:rPr>
        <w:t>1.深化思想引领</w:t>
      </w:r>
    </w:p>
    <w:p>
      <w:pPr>
        <w:spacing w:line="480" w:lineRule="exact"/>
        <w:ind w:firstLine="640"/>
        <w:rPr>
          <w:rFonts w:ascii="仿宋" w:hAnsi="仿宋" w:eastAsia="仿宋"/>
          <w:sz w:val="28"/>
          <w:szCs w:val="28"/>
        </w:rPr>
      </w:pPr>
      <w:r>
        <w:rPr>
          <w:rFonts w:ascii="仿宋" w:hAnsi="仿宋" w:eastAsia="仿宋"/>
          <w:sz w:val="28"/>
          <w:szCs w:val="28"/>
        </w:rPr>
        <w:t>加强思想引领，始终坚持用中国特色社会主义理论体系武装头脑。以立德树人为根本，以理想信念教育为核心，以社会主义核心价值观为引领，以全面提高人才培养能力为关键，确保社会主义办学方向。壮大主流思想舆论，加强马克思主义理论教育，引领党建工作和团建工作。拓展网络思政“落地”的平台，争取我校网络思政平台获得市级以上挂牌（立项）或荣誉；形成一系列优秀的网络原创作品，发挥正面舆论的导向作用，充分实现网络文化的育人功能。</w:t>
      </w:r>
    </w:p>
    <w:p>
      <w:pPr>
        <w:spacing w:line="480" w:lineRule="exact"/>
        <w:ind w:firstLine="641"/>
        <w:rPr>
          <w:rFonts w:ascii="仿宋" w:hAnsi="仿宋" w:eastAsia="仿宋"/>
          <w:sz w:val="28"/>
          <w:szCs w:val="28"/>
        </w:rPr>
      </w:pPr>
      <w:r>
        <w:rPr>
          <w:rFonts w:ascii="仿宋" w:hAnsi="仿宋" w:eastAsia="仿宋"/>
          <w:sz w:val="28"/>
          <w:szCs w:val="28"/>
        </w:rPr>
        <w:t>2.创新德育模式</w:t>
      </w:r>
    </w:p>
    <w:p>
      <w:pPr>
        <w:spacing w:line="480" w:lineRule="exact"/>
        <w:ind w:firstLine="640"/>
        <w:rPr>
          <w:rFonts w:ascii="仿宋" w:hAnsi="仿宋" w:eastAsia="仿宋"/>
          <w:sz w:val="28"/>
          <w:szCs w:val="28"/>
        </w:rPr>
      </w:pPr>
      <w:r>
        <w:rPr>
          <w:rFonts w:ascii="仿宋" w:hAnsi="仿宋" w:eastAsia="仿宋"/>
          <w:sz w:val="28"/>
          <w:szCs w:val="28"/>
        </w:rPr>
        <w:t>开展大学生德育工作要始终坚持符合大学生成长发展的需要。坚持第一课堂、第二课堂、第三课堂相结合的原则，关注大学生从入学到毕业的各个关键环节，形成大学生德育工作的全过程覆盖。着力提升大学生自育平台内涵，提高学生自治组织的自我管理、自我服务、自我教育的能力。积极开展校园文化活动，以主题活动为载体，强化社会主义核心价值观和中华优秀传统文化的引领教育功能。深入推进素质教育特色基地建设和社会实践基地建设，广泛开展公益劳动、志愿服务、创新创业等素质教育活动，拓展社会实践基地，丰富社会实践项目，扩大大学生社会实践参与面。坚持开展“以人为本”的学风建设，争取在“十三五”期间实现毕业率、四六级通过率逐年提升，到2020年，考研成功人数突破150人。坚持推进就业质量工程，实现初次就业率达到97%、签约率达到88%；实现毕业生工作满意度逐年提升；起薪收入逐年提高，增长率高于当年通胀率；岗位与专业匹配度同比提升；积极建设创新创业孵化基地，实现创业学生（作为法人）同比增加的目标。</w:t>
      </w:r>
    </w:p>
    <w:p>
      <w:pPr>
        <w:spacing w:line="480" w:lineRule="exact"/>
        <w:ind w:firstLine="641"/>
        <w:rPr>
          <w:rFonts w:ascii="仿宋" w:hAnsi="仿宋" w:eastAsia="仿宋"/>
          <w:sz w:val="28"/>
          <w:szCs w:val="28"/>
        </w:rPr>
      </w:pPr>
      <w:r>
        <w:rPr>
          <w:rFonts w:ascii="仿宋" w:hAnsi="仿宋" w:eastAsia="仿宋"/>
          <w:sz w:val="28"/>
          <w:szCs w:val="28"/>
        </w:rPr>
        <w:t>3.加强队伍建设</w:t>
      </w:r>
    </w:p>
    <w:p>
      <w:pPr>
        <w:spacing w:line="480" w:lineRule="exact"/>
        <w:ind w:firstLine="640"/>
        <w:rPr>
          <w:rFonts w:ascii="仿宋" w:hAnsi="仿宋" w:eastAsia="仿宋"/>
          <w:sz w:val="28"/>
          <w:szCs w:val="28"/>
        </w:rPr>
      </w:pPr>
      <w:r>
        <w:rPr>
          <w:rFonts w:ascii="仿宋" w:hAnsi="仿宋" w:eastAsia="仿宋"/>
          <w:sz w:val="28"/>
          <w:szCs w:val="28"/>
        </w:rPr>
        <w:t>加强对辅导员和思想政治理论课教师队伍的专业化培养，逐步形成一支素质全面、师德高尚、信念坚定、业务精湛的学校德育专业队伍，发挥典型带路、骨干引领、专家指导的高素质团队效应。在辅导员的队伍配备方面，坚持专兼职结合、以专职为主的原则，足额配备到位。在辅导员专业化发展方面，坚持优化结构、多元发展、强化培养，工作3年（含3年）以上的辅导员持与工作相关资质证书的比率应达到100%。在提升辅导员科研能力方面，积极开展培训、学习活动，争取“十三五”期间能实现省部级以上思想政治教育类项目、课题、荣誉的零的突破。在辅导员发展方面，积极推进普及辅导员5年一轮提升计划，落实每一个辅导员在5年中至少获得一次中长期培训、挂职、访学的机会。</w:t>
      </w:r>
    </w:p>
    <w:p>
      <w:pPr>
        <w:spacing w:line="480" w:lineRule="exact"/>
        <w:ind w:firstLine="641"/>
        <w:rPr>
          <w:rFonts w:ascii="仿宋" w:hAnsi="仿宋" w:eastAsia="仿宋"/>
          <w:sz w:val="28"/>
          <w:szCs w:val="28"/>
        </w:rPr>
      </w:pPr>
      <w:r>
        <w:rPr>
          <w:rFonts w:ascii="仿宋" w:hAnsi="仿宋" w:eastAsia="仿宋"/>
          <w:sz w:val="28"/>
          <w:szCs w:val="28"/>
        </w:rPr>
        <w:t>4.健全管理机制</w:t>
      </w:r>
    </w:p>
    <w:p>
      <w:pPr>
        <w:spacing w:line="480" w:lineRule="exact"/>
        <w:ind w:firstLine="640"/>
        <w:rPr>
          <w:rFonts w:ascii="仿宋" w:hAnsi="仿宋" w:eastAsia="仿宋"/>
          <w:sz w:val="28"/>
          <w:szCs w:val="28"/>
        </w:rPr>
      </w:pPr>
      <w:r>
        <w:rPr>
          <w:rFonts w:ascii="仿宋" w:hAnsi="仿宋" w:eastAsia="仿宋"/>
          <w:sz w:val="28"/>
          <w:szCs w:val="28"/>
        </w:rPr>
        <w:t>进一步健全组织领导体系，不断完善管理体制，逐步加强制度建设，促使德育工作运行机制更加规范有序；完善分类指导、分层推进的校院两级管理工作模式；改进园区管理模式，拓展园区服务功能，积极推动德泰学苑的书院制运作，同时加强园区安全管理与教育，实现“十三五”期间生活园区无安全稳定责任事故。通过自上而下、点面结合、各级联动的方式，逐步形成具有学校特色的全员全过程全方位育人格局。</w:t>
      </w:r>
    </w:p>
    <w:p>
      <w:pPr>
        <w:spacing w:line="480" w:lineRule="exact"/>
        <w:ind w:firstLine="640"/>
        <w:rPr>
          <w:rFonts w:ascii="仿宋" w:hAnsi="仿宋" w:eastAsia="仿宋"/>
          <w:sz w:val="28"/>
          <w:szCs w:val="28"/>
        </w:rPr>
      </w:pPr>
    </w:p>
    <w:p>
      <w:pPr>
        <w:spacing w:line="480" w:lineRule="exact"/>
        <w:ind w:firstLine="640"/>
        <w:rPr>
          <w:rFonts w:ascii="黑体" w:eastAsia="黑体"/>
          <w:sz w:val="28"/>
          <w:szCs w:val="28"/>
        </w:rPr>
      </w:pPr>
      <w:r>
        <w:rPr>
          <w:rFonts w:ascii="黑体" w:eastAsia="黑体"/>
          <w:sz w:val="28"/>
          <w:szCs w:val="28"/>
        </w:rPr>
        <w:t>四、“十三五”主要任务和举措</w:t>
      </w:r>
    </w:p>
    <w:p>
      <w:pPr>
        <w:spacing w:line="480" w:lineRule="exact"/>
        <w:ind w:firstLine="641"/>
        <w:rPr>
          <w:rFonts w:ascii="仿宋" w:hAnsi="仿宋" w:eastAsia="仿宋"/>
          <w:sz w:val="28"/>
          <w:szCs w:val="28"/>
        </w:rPr>
      </w:pPr>
      <w:r>
        <w:rPr>
          <w:rFonts w:ascii="仿宋" w:hAnsi="仿宋" w:eastAsia="仿宋"/>
          <w:sz w:val="28"/>
          <w:szCs w:val="28"/>
        </w:rPr>
        <w:t>（一）加强思想引领，把握意识形态工作主导权</w:t>
      </w:r>
    </w:p>
    <w:p>
      <w:pPr>
        <w:widowControl/>
        <w:spacing w:line="480" w:lineRule="exact"/>
        <w:ind w:firstLine="641"/>
        <w:rPr>
          <w:rFonts w:ascii="仿宋" w:hAnsi="仿宋" w:eastAsia="仿宋"/>
          <w:sz w:val="28"/>
          <w:szCs w:val="28"/>
        </w:rPr>
      </w:pPr>
      <w:r>
        <w:rPr>
          <w:rFonts w:ascii="仿宋" w:hAnsi="仿宋" w:eastAsia="仿宋"/>
          <w:sz w:val="28"/>
          <w:szCs w:val="28"/>
        </w:rPr>
        <w:t>1.认真学习中央有关重要会议精神和习近平总书记系列讲话精神。着力做好学习宣传工作，在广大同学中通过一系列的专题讲座、主题班会、主题研讨、调查研究等各种形式，网上网下深入学习中央有关重要会议精神和习近平总书记系列讲话精神，把讲话精神落细落小落实。</w:t>
      </w:r>
    </w:p>
    <w:p>
      <w:pPr>
        <w:widowControl/>
        <w:spacing w:line="480" w:lineRule="exact"/>
        <w:ind w:firstLine="641"/>
        <w:rPr>
          <w:rFonts w:ascii="仿宋" w:hAnsi="仿宋" w:eastAsia="仿宋"/>
          <w:sz w:val="28"/>
          <w:szCs w:val="28"/>
        </w:rPr>
      </w:pPr>
      <w:r>
        <w:rPr>
          <w:rFonts w:ascii="仿宋" w:hAnsi="仿宋" w:eastAsia="仿宋"/>
          <w:sz w:val="28"/>
          <w:szCs w:val="28"/>
        </w:rPr>
        <w:t>2.高度重视和掌握意识形态工作的主导权。牢牢掌握意识形态工作的主导权，对学校意识形态和宣传德育工作进行顶层设计；提升马克思主义理论学科的引领作用，充分发挥马克思主义育人作用；加强形势预判和信息报送，对重点领域、重点人群开展专项分析研判，掌握意识形态工作主导权。</w:t>
      </w:r>
    </w:p>
    <w:p>
      <w:pPr>
        <w:widowControl/>
        <w:spacing w:line="480" w:lineRule="exact"/>
        <w:ind w:firstLine="641"/>
        <w:rPr>
          <w:rFonts w:ascii="仿宋" w:hAnsi="仿宋" w:eastAsia="仿宋"/>
          <w:sz w:val="28"/>
          <w:szCs w:val="28"/>
        </w:rPr>
      </w:pPr>
      <w:r>
        <w:rPr>
          <w:rFonts w:ascii="仿宋" w:hAnsi="仿宋" w:eastAsia="仿宋"/>
          <w:sz w:val="28"/>
          <w:szCs w:val="28"/>
        </w:rPr>
        <w:t>3.社会主义核心价值观融入党团建设工作。在新时代中国特色社会主义思想的指引下，加强社会主义核心价值观在大学生思想政治教育工作中的教育引领作用。将社会主义核心价值观充分融入党员发展、教育、管理和发挥先锋模范作用等方面，使社会主义核心价值观融入党建团建，在学校建设高水平应用技术大学的征程中引领全体电机青年勤奋学习、锐意进取，敢想敢为敢担当。</w:t>
      </w:r>
    </w:p>
    <w:p>
      <w:pPr>
        <w:widowControl/>
        <w:spacing w:line="480" w:lineRule="exact"/>
        <w:ind w:firstLine="641"/>
        <w:rPr>
          <w:rFonts w:ascii="仿宋" w:hAnsi="仿宋" w:eastAsia="仿宋"/>
          <w:sz w:val="28"/>
          <w:szCs w:val="28"/>
        </w:rPr>
      </w:pPr>
      <w:r>
        <w:rPr>
          <w:rFonts w:ascii="仿宋" w:hAnsi="仿宋" w:eastAsia="仿宋"/>
          <w:sz w:val="28"/>
          <w:szCs w:val="28"/>
        </w:rPr>
        <w:t>4.形成主题教育品牌化。加强研究社会主义核心价值观与理想信念教育的有机融合，以重大活动、重大事件、重要节庆日等为契机，深入开展社会主义核心价值观和中华优秀传统文化主题教育实践活动。持续推进“中国梦”系列宣传教育活动，引领学生将电机梦、青春梦和中国梦紧密联系；依托各种活动和平台，深入开展世情、国情、社情和校情教育，探索特色鲜明的主题教育活动，并使其长效化、品牌化。把握以开学典礼、入学教育、毕业典礼、总结表彰大会、升旗仪式等仪式教育活动，增强学生爱国荣校的主人翁意识。</w:t>
      </w:r>
    </w:p>
    <w:p>
      <w:pPr>
        <w:spacing w:line="480" w:lineRule="exact"/>
        <w:ind w:firstLine="641"/>
        <w:rPr>
          <w:rFonts w:ascii="楷体_GB2312" w:eastAsia="楷体_GB2312"/>
          <w:sz w:val="28"/>
          <w:szCs w:val="28"/>
        </w:rPr>
      </w:pPr>
      <w:r>
        <w:rPr>
          <w:rFonts w:ascii="楷体_GB2312" w:eastAsia="楷体_GB2312"/>
          <w:sz w:val="28"/>
          <w:szCs w:val="28"/>
        </w:rPr>
        <w:t>（二）加强大学生德育工作体制机制建设，促进大学生德育工作可持续发展</w:t>
      </w:r>
    </w:p>
    <w:p>
      <w:pPr>
        <w:widowControl/>
        <w:spacing w:line="480" w:lineRule="exact"/>
        <w:ind w:firstLine="641"/>
        <w:rPr>
          <w:rFonts w:ascii="仿宋" w:hAnsi="仿宋" w:eastAsia="仿宋"/>
          <w:sz w:val="28"/>
          <w:szCs w:val="28"/>
        </w:rPr>
      </w:pPr>
      <w:r>
        <w:rPr>
          <w:rFonts w:ascii="仿宋" w:hAnsi="仿宋" w:eastAsia="仿宋"/>
          <w:sz w:val="28"/>
          <w:szCs w:val="28"/>
        </w:rPr>
        <w:t>1.加强大学生德育工作的统筹协调。研究部署全校大学生德育工作，加强组织架构建设，使整个学校的大学生德育工作有计划、有目标地开展起来，提高大学生德育工作的针对性和实效性。</w:t>
      </w:r>
    </w:p>
    <w:p>
      <w:pPr>
        <w:widowControl/>
        <w:spacing w:line="480" w:lineRule="exact"/>
        <w:ind w:firstLine="641"/>
        <w:rPr>
          <w:rFonts w:ascii="仿宋" w:hAnsi="仿宋" w:eastAsia="仿宋"/>
          <w:sz w:val="28"/>
          <w:szCs w:val="28"/>
        </w:rPr>
      </w:pPr>
      <w:r>
        <w:rPr>
          <w:rFonts w:ascii="仿宋" w:hAnsi="仿宋" w:eastAsia="仿宋"/>
          <w:sz w:val="28"/>
          <w:szCs w:val="28"/>
        </w:rPr>
        <w:t>2.结合岗位职责梳理和岗位聘任工作，全校梳理各岗位的育人元素，管理育人的内容和路径逐步明晰，不同岗位的教职工开始自觉把教书育人、科研育人、管理育人、服务育人等理念与本职岗位联系起来，牢固树立“育人为本，德育为先”理念，凝聚起全员育人共识。</w:t>
      </w:r>
    </w:p>
    <w:p>
      <w:pPr>
        <w:widowControl/>
        <w:spacing w:line="480" w:lineRule="exact"/>
        <w:ind w:firstLine="641"/>
        <w:rPr>
          <w:rFonts w:ascii="仿宋" w:hAnsi="仿宋" w:eastAsia="仿宋"/>
          <w:sz w:val="28"/>
          <w:szCs w:val="28"/>
        </w:rPr>
      </w:pPr>
      <w:r>
        <w:rPr>
          <w:rFonts w:ascii="仿宋" w:hAnsi="仿宋" w:eastAsia="仿宋"/>
          <w:sz w:val="28"/>
          <w:szCs w:val="28"/>
        </w:rPr>
        <w:t>3.促使思想政治理论课与经常性大学生思想政治教育工作的有效对接，建立和完善全校各部门之间大学生德育工作的有效沟通机制。专职学生工作队伍与思想政治理论课教师以及其他专业课教师的相互支持，专职学生工作队伍与其他教育、管理、服务岗位的相互配合，专职学生工作队伍与校外社会教育、实践活动的相互协调，寓德育于各种教学之中，寓德育于各种活动之中，寓德育于各项规章制度之中，寓德育于环境建设之中，建立健全考核、评优、奖励制度，强化对学生工作的考核，进一步落实两级学生管理责任制，构建和强化全方位育人、全过程育人格局。</w:t>
      </w:r>
    </w:p>
    <w:p>
      <w:pPr>
        <w:spacing w:line="480" w:lineRule="exact"/>
        <w:ind w:firstLine="641"/>
        <w:rPr>
          <w:rFonts w:ascii="楷体_GB2312" w:eastAsia="楷体_GB2312"/>
          <w:sz w:val="28"/>
          <w:szCs w:val="28"/>
        </w:rPr>
      </w:pPr>
      <w:r>
        <w:rPr>
          <w:rFonts w:ascii="楷体_GB2312" w:eastAsia="楷体_GB2312"/>
          <w:sz w:val="28"/>
          <w:szCs w:val="28"/>
        </w:rPr>
        <w:t>（三）优化政策深化内涵，推进大学生德育工作队伍专业化建设</w:t>
      </w:r>
    </w:p>
    <w:p>
      <w:pPr>
        <w:widowControl/>
        <w:spacing w:line="480" w:lineRule="exact"/>
        <w:ind w:firstLine="641"/>
        <w:rPr>
          <w:rFonts w:ascii="仿宋" w:hAnsi="仿宋" w:eastAsia="仿宋"/>
          <w:sz w:val="28"/>
          <w:szCs w:val="28"/>
        </w:rPr>
      </w:pPr>
      <w:r>
        <w:rPr>
          <w:rFonts w:ascii="仿宋" w:hAnsi="仿宋" w:eastAsia="仿宋"/>
          <w:sz w:val="28"/>
          <w:szCs w:val="28"/>
        </w:rPr>
        <w:t>1.进一步加强思想政治理论课教师队伍建设。切实加强思想政治理论课教师队伍建设，按照新课程体系的设置要求和使思想政治理论课成为大学生真心喜欢、终身受益的优秀课程的目标，努力提高思政理论课教师队伍解疑释惑的能力，努力使其成为大学生健康成长的指导者和引路人。</w:t>
      </w:r>
    </w:p>
    <w:p>
      <w:pPr>
        <w:spacing w:line="480" w:lineRule="exact"/>
        <w:ind w:firstLine="641"/>
        <w:rPr>
          <w:rFonts w:ascii="仿宋" w:hAnsi="仿宋" w:eastAsia="仿宋"/>
          <w:sz w:val="28"/>
          <w:szCs w:val="28"/>
        </w:rPr>
      </w:pPr>
      <w:r>
        <w:rPr>
          <w:rFonts w:ascii="仿宋" w:hAnsi="仿宋" w:eastAsia="仿宋"/>
          <w:sz w:val="28"/>
          <w:szCs w:val="28"/>
        </w:rPr>
        <w:t>2.加强辅导员队伍建设。加强辅导员队伍建设的顶层设计，依托辅导员协会平台，制定并实施辅导员队伍建设发展规划，探索和完善辅导员队伍的合理流动机制和辅导员的“双线”晋升通道。坚持专兼职结合、以专职为主的原则，按要求比例设置专职辅导员岗位。兼职辅导员可从优秀党员专业教师和研究生中选聘。不断优化辅导员队伍的年龄、学缘、学历和专业结构，做到中青年结合、专业多样化的梯队差异化配备。注重联合研究与集体攻关，形成一批有特色的、高水平的研究成果，实现辅导员队伍在思政系列副高职称上的突破以及在辅导员工作室建设、辅导员技能大赛等品牌建设上的突破，开创学校思想政治工作理论研究的品牌。</w:t>
      </w:r>
    </w:p>
    <w:p>
      <w:pPr>
        <w:widowControl/>
        <w:spacing w:line="480" w:lineRule="exact"/>
        <w:ind w:firstLine="801"/>
        <w:rPr>
          <w:rFonts w:ascii="仿宋" w:hAnsi="仿宋" w:eastAsia="仿宋"/>
          <w:sz w:val="28"/>
          <w:szCs w:val="28"/>
        </w:rPr>
      </w:pPr>
      <w:r>
        <w:rPr>
          <w:rFonts w:ascii="仿宋" w:hAnsi="仿宋" w:eastAsia="仿宋"/>
          <w:sz w:val="28"/>
          <w:szCs w:val="28"/>
        </w:rPr>
        <w:t>3.加强学生骨干队伍建设。进一步加强和规范学生骨干队伍的培养、选拔和提升，优化优秀青年培养学院的平台功能，培养共青团、学生会、社团、志愿服务等组织骨干，分类培养管理服务、科技创新、艺术创作、新媒体运维等专业人才，健全和完善人才储备、培养、选拔、使用、考核制度，加大社会实践、挂职锻炼、团校培训等各个平台的育人功能，为学生骨干队伍的提升和发展打下坚实基础。</w:t>
      </w:r>
    </w:p>
    <w:p>
      <w:pPr>
        <w:spacing w:line="480" w:lineRule="exact"/>
        <w:ind w:firstLine="641"/>
        <w:rPr>
          <w:rFonts w:ascii="楷体_GB2312" w:eastAsia="楷体_GB2312"/>
          <w:sz w:val="28"/>
          <w:szCs w:val="28"/>
        </w:rPr>
      </w:pPr>
      <w:r>
        <w:rPr>
          <w:rFonts w:ascii="楷体_GB2312" w:eastAsia="楷体_GB2312"/>
          <w:sz w:val="28"/>
          <w:szCs w:val="28"/>
        </w:rPr>
        <w:t>（四）服务育人润物无声，促进学生健康成长成才</w:t>
      </w:r>
    </w:p>
    <w:p>
      <w:pPr>
        <w:widowControl/>
        <w:spacing w:line="480" w:lineRule="exact"/>
        <w:ind w:firstLine="641"/>
        <w:rPr>
          <w:rFonts w:ascii="仿宋" w:hAnsi="仿宋" w:eastAsia="仿宋"/>
          <w:sz w:val="28"/>
          <w:szCs w:val="28"/>
        </w:rPr>
      </w:pPr>
      <w:r>
        <w:rPr>
          <w:rFonts w:ascii="仿宋" w:hAnsi="仿宋" w:eastAsia="仿宋"/>
          <w:sz w:val="28"/>
          <w:szCs w:val="28"/>
        </w:rPr>
        <w:t>1.服务学生精细管理。围绕育人这个人才培养的中心目标，聚焦“服务育人”，继续保持主动、贴近、周到、细致的工作态度，以专业化、特色化的服务满足学生个性化的需求，与学校其他部门通力合作，共同努力建设我校高水平的公共服务体系。</w:t>
      </w:r>
    </w:p>
    <w:p>
      <w:pPr>
        <w:widowControl/>
        <w:spacing w:line="480" w:lineRule="exact"/>
        <w:ind w:firstLine="641"/>
        <w:rPr>
          <w:rFonts w:ascii="仿宋" w:hAnsi="仿宋" w:eastAsia="仿宋"/>
          <w:sz w:val="28"/>
          <w:szCs w:val="28"/>
        </w:rPr>
      </w:pPr>
      <w:r>
        <w:rPr>
          <w:rFonts w:ascii="仿宋" w:hAnsi="仿宋" w:eastAsia="仿宋"/>
          <w:sz w:val="28"/>
          <w:szCs w:val="28"/>
        </w:rPr>
        <w:t>2.深化资助育人内涵。加强资助育人的内涵建设，在践行“不让一个学生因家庭经济困难而辍学”的目标的基础上，通过多种措施引导和教育受助同学形成良好的诚信观念和感恩精神，并通过义工活动使受助同学逐渐养成关爱他人、感恩社会的优秀品质，使受助同学“一次受助，终身受益”。</w:t>
      </w:r>
    </w:p>
    <w:p>
      <w:pPr>
        <w:spacing w:line="480" w:lineRule="exact"/>
        <w:ind w:firstLine="634"/>
        <w:rPr>
          <w:rFonts w:ascii="仿宋" w:hAnsi="仿宋" w:eastAsia="仿宋"/>
          <w:sz w:val="28"/>
          <w:szCs w:val="28"/>
        </w:rPr>
      </w:pPr>
      <w:r>
        <w:rPr>
          <w:rFonts w:ascii="仿宋" w:hAnsi="仿宋" w:eastAsia="仿宋"/>
          <w:sz w:val="28"/>
          <w:szCs w:val="28"/>
        </w:rPr>
        <w:t>3.重视和加强大学生心理健康教育工作。继续实施和优化约谈、信息排摸、信息通报、动态心理档案管理、蹲点服务、转介“六个”工作机制；积极发挥五级网络的作用，即学校（心理咨询中心）</w:t>
      </w:r>
      <w:r>
        <w:rPr>
          <w:rFonts w:hint="eastAsia" w:ascii="仿宋" w:hAnsi="仿宋" w:eastAsia="仿宋"/>
          <w:sz w:val="28"/>
          <w:szCs w:val="28"/>
        </w:rPr>
        <w:t>——</w:t>
      </w:r>
      <w:r>
        <w:rPr>
          <w:rFonts w:ascii="仿宋" w:hAnsi="仿宋" w:eastAsia="仿宋"/>
          <w:sz w:val="28"/>
          <w:szCs w:val="28"/>
        </w:rPr>
        <w:t>心理社团联合会</w:t>
      </w:r>
      <w:r>
        <w:rPr>
          <w:rFonts w:hint="eastAsia" w:ascii="仿宋" w:hAnsi="仿宋" w:eastAsia="仿宋"/>
          <w:sz w:val="28"/>
          <w:szCs w:val="28"/>
        </w:rPr>
        <w:t>——</w:t>
      </w:r>
      <w:r>
        <w:rPr>
          <w:rFonts w:ascii="仿宋" w:hAnsi="仿宋" w:eastAsia="仿宋"/>
          <w:sz w:val="28"/>
          <w:szCs w:val="28"/>
        </w:rPr>
        <w:t>二级学院（心理社团）</w:t>
      </w:r>
      <w:r>
        <w:rPr>
          <w:rFonts w:hint="eastAsia" w:ascii="仿宋" w:hAnsi="仿宋" w:eastAsia="仿宋"/>
          <w:sz w:val="28"/>
          <w:szCs w:val="28"/>
        </w:rPr>
        <w:t>——</w:t>
      </w:r>
      <w:r>
        <w:rPr>
          <w:rFonts w:ascii="仿宋" w:hAnsi="仿宋" w:eastAsia="仿宋"/>
          <w:sz w:val="28"/>
          <w:szCs w:val="28"/>
        </w:rPr>
        <w:t>班级（心理委员）</w:t>
      </w:r>
      <w:r>
        <w:rPr>
          <w:rFonts w:hint="eastAsia" w:ascii="仿宋" w:hAnsi="仿宋" w:eastAsia="仿宋"/>
          <w:sz w:val="28"/>
          <w:szCs w:val="28"/>
        </w:rPr>
        <w:t>——</w:t>
      </w:r>
      <w:r>
        <w:rPr>
          <w:rFonts w:ascii="仿宋" w:hAnsi="仿宋" w:eastAsia="仿宋"/>
          <w:sz w:val="28"/>
          <w:szCs w:val="28"/>
        </w:rPr>
        <w:t>宿舍（心理联络员），有效预防和干预学生重大心理问题和突发事件；开展特色心理健康活动，建设好《大学生心理健康修养》必修课。</w:t>
      </w:r>
    </w:p>
    <w:p>
      <w:pPr>
        <w:spacing w:line="480" w:lineRule="exact"/>
        <w:ind w:firstLine="634"/>
        <w:rPr>
          <w:rFonts w:ascii="仿宋" w:hAnsi="仿宋" w:eastAsia="仿宋"/>
          <w:sz w:val="28"/>
          <w:szCs w:val="28"/>
        </w:rPr>
      </w:pPr>
      <w:r>
        <w:rPr>
          <w:rFonts w:ascii="仿宋" w:hAnsi="仿宋" w:eastAsia="仿宋"/>
          <w:sz w:val="28"/>
          <w:szCs w:val="28"/>
        </w:rPr>
        <w:t>4.提升就业服务质量。完善就业服务信息网络，优化“就业信息发布系统”“就业数据管理系统”，与教委主管部门的信息系统有效对接，与毕业生实现就业供求信息共享，提高工作效率，完成初次就业率97%、签约率88%以上的目标。建设好“上海高端制造业应用型人才就业实习创新基地”“就业实习实践提升大学生就业竞争力”两个项目。落实就业困难学生援助保障，对家庭经济困难、学业困难、残疾学生、少数民族学生等就业困难同学进行问题梳理，就业指导中心、学生资助中心、心理咨询中心等多部门联动，通过个别辅导、重点推荐、就业求职补贴等措施，提升学生的就业信心与满意度。加强就业服务指导，进一步提高我校就业工作队伍的专业化水平，加强职业发展教育课程建设，更好地发挥职业发展研究中心的职能，努力实现“毕业生就业质量”和“就业队伍专业化水平”两个提高。</w:t>
      </w:r>
    </w:p>
    <w:p>
      <w:pPr>
        <w:spacing w:line="480" w:lineRule="exact"/>
        <w:ind w:firstLine="634"/>
        <w:rPr>
          <w:rFonts w:ascii="仿宋" w:hAnsi="仿宋" w:eastAsia="仿宋"/>
          <w:sz w:val="28"/>
          <w:szCs w:val="28"/>
        </w:rPr>
      </w:pPr>
      <w:r>
        <w:rPr>
          <w:rFonts w:ascii="仿宋" w:hAnsi="仿宋" w:eastAsia="仿宋"/>
          <w:sz w:val="28"/>
          <w:szCs w:val="28"/>
        </w:rPr>
        <w:t>5.启动园区书院制运作。在德泰学苑引入书院制的管理服务理念和制度，让学生树立“学生自治”的理念，书院自行制定章程，依据章程确定管理形式，民主产生管理机构，书院内各项事务均由学生自主管理，在每栋宿舍楼开辟特色活动室，由书院自行设计装修、管理维护。活动室作为文化传承、感情交流的空间，打破了宿舍与宿舍、楼面与楼面之间的物理隔阂，使园区成为在教室以外开展学习、提升能力、拓展交际的空间。</w:t>
      </w:r>
    </w:p>
    <w:p>
      <w:pPr>
        <w:spacing w:line="480" w:lineRule="exact"/>
        <w:ind w:firstLine="641"/>
        <w:rPr>
          <w:rFonts w:ascii="楷体_GB2312" w:eastAsia="楷体_GB2312"/>
          <w:sz w:val="28"/>
          <w:szCs w:val="28"/>
        </w:rPr>
      </w:pPr>
      <w:r>
        <w:rPr>
          <w:rFonts w:ascii="楷体_GB2312" w:eastAsia="楷体_GB2312"/>
          <w:sz w:val="28"/>
          <w:szCs w:val="28"/>
        </w:rPr>
        <w:t>（五）聚集力量常抓不懈，大力加强我校学风建设</w:t>
      </w:r>
    </w:p>
    <w:p>
      <w:pPr>
        <w:widowControl/>
        <w:spacing w:line="480" w:lineRule="exact"/>
        <w:ind w:firstLine="641"/>
        <w:rPr>
          <w:rFonts w:ascii="仿宋" w:hAnsi="仿宋" w:eastAsia="仿宋"/>
          <w:sz w:val="28"/>
          <w:szCs w:val="28"/>
        </w:rPr>
      </w:pPr>
      <w:r>
        <w:rPr>
          <w:rFonts w:ascii="仿宋" w:hAnsi="仿宋" w:eastAsia="仿宋"/>
          <w:sz w:val="28"/>
          <w:szCs w:val="28"/>
        </w:rPr>
        <w:t>1.优化学风建设工作机制。实施优良学风竞赛活动，将毕业率、四六级通过率、考研成功率等指标纳入学风竞赛指标体系。落实学风现状排摸工作，形成常态化的调研、指导机制，建立教学管理部门和学生管理部门联动机制，实现教学系统和学生系统信息共享，强化教学环节与学生教育管理的过程控制，做到教学工作与学生工作的有机结合；加强对学风状况的动态了解和监督，减少学风建设“盲点”。引导和形成相关职能部门、二级学院、专业教师、辅导员、班主任、学生骨干加强学风建设的合力。</w:t>
      </w:r>
    </w:p>
    <w:p>
      <w:pPr>
        <w:widowControl/>
        <w:spacing w:line="480" w:lineRule="exact"/>
        <w:ind w:firstLine="641"/>
        <w:rPr>
          <w:rFonts w:ascii="仿宋" w:hAnsi="仿宋" w:eastAsia="仿宋"/>
          <w:sz w:val="28"/>
          <w:szCs w:val="28"/>
        </w:rPr>
      </w:pPr>
      <w:r>
        <w:rPr>
          <w:rFonts w:ascii="仿宋" w:hAnsi="仿宋" w:eastAsia="仿宋"/>
          <w:sz w:val="28"/>
          <w:szCs w:val="28"/>
        </w:rPr>
        <w:t>2.加强示范引领工作。每年召开先进表彰大会，大力表彰宣传学习优异和在创新实践方面取得优秀成绩的学生。进一步完善对各类优秀学生的激励机制。进一步完善“荣誉竞争墙”，充分发挥示范引领作用，凸显“德育为先、能力为重、全面发展”的育人理念，发挥先进典型与优秀学子的正面引领作用，引领学生形成正确的学习观。</w:t>
      </w:r>
    </w:p>
    <w:p>
      <w:pPr>
        <w:pStyle w:val="12"/>
        <w:spacing w:line="480" w:lineRule="exact"/>
        <w:ind w:firstLine="641"/>
        <w:rPr>
          <w:rFonts w:ascii="仿宋" w:hAnsi="仿宋" w:eastAsia="仿宋" w:cs="Times New Roman"/>
          <w:color w:val="auto"/>
          <w:sz w:val="28"/>
          <w:szCs w:val="28"/>
        </w:rPr>
      </w:pPr>
      <w:r>
        <w:rPr>
          <w:rFonts w:ascii="仿宋" w:hAnsi="仿宋" w:eastAsia="仿宋" w:cs="Times New Roman"/>
          <w:color w:val="auto"/>
          <w:sz w:val="28"/>
          <w:szCs w:val="28"/>
        </w:rPr>
        <w:t>3.</w:t>
      </w:r>
      <w:r>
        <w:rPr>
          <w:rFonts w:hint="eastAsia" w:ascii="仿宋" w:hAnsi="仿宋" w:eastAsia="仿宋" w:cs="Times New Roman"/>
          <w:color w:val="auto"/>
          <w:sz w:val="28"/>
          <w:szCs w:val="28"/>
        </w:rPr>
        <w:t>提升朋辈辅导能力。学生思想主题教育活动出品牌，继续巩固好已有的学生互帮互助的学习平台及</w:t>
      </w:r>
      <w:r>
        <w:rPr>
          <w:rFonts w:ascii="仿宋" w:hAnsi="仿宋" w:eastAsia="仿宋" w:cs="Times New Roman"/>
          <w:color w:val="auto"/>
          <w:sz w:val="28"/>
          <w:szCs w:val="28"/>
        </w:rPr>
        <w:t>“</w:t>
      </w:r>
      <w:r>
        <w:rPr>
          <w:rFonts w:hint="eastAsia" w:ascii="仿宋" w:hAnsi="仿宋" w:eastAsia="仿宋" w:cs="Times New Roman"/>
          <w:color w:val="auto"/>
          <w:sz w:val="28"/>
          <w:szCs w:val="28"/>
        </w:rPr>
        <w:t>小海鸥</w:t>
      </w:r>
      <w:r>
        <w:rPr>
          <w:rFonts w:ascii="仿宋" w:hAnsi="仿宋" w:eastAsia="仿宋" w:cs="Times New Roman"/>
          <w:color w:val="auto"/>
          <w:sz w:val="28"/>
          <w:szCs w:val="28"/>
        </w:rPr>
        <w:t>”</w:t>
      </w:r>
      <w:r>
        <w:rPr>
          <w:rFonts w:hint="eastAsia" w:ascii="仿宋" w:hAnsi="仿宋" w:eastAsia="仿宋" w:cs="Times New Roman"/>
          <w:color w:val="auto"/>
          <w:sz w:val="28"/>
          <w:szCs w:val="28"/>
        </w:rPr>
        <w:t>团队建设，扩大学生骨干及朋辈辅导的覆盖面，实行课后</w:t>
      </w:r>
      <w:r>
        <w:rPr>
          <w:rFonts w:ascii="仿宋" w:hAnsi="仿宋" w:eastAsia="仿宋" w:cs="Times New Roman"/>
          <w:color w:val="auto"/>
          <w:sz w:val="28"/>
          <w:szCs w:val="28"/>
        </w:rPr>
        <w:t>“</w:t>
      </w:r>
      <w:r>
        <w:rPr>
          <w:rFonts w:hint="eastAsia" w:ascii="仿宋" w:hAnsi="仿宋" w:eastAsia="仿宋" w:cs="Times New Roman"/>
          <w:color w:val="auto"/>
          <w:sz w:val="28"/>
          <w:szCs w:val="28"/>
        </w:rPr>
        <w:t>一对一帮扶</w:t>
      </w:r>
      <w:r>
        <w:rPr>
          <w:rFonts w:ascii="仿宋" w:hAnsi="仿宋" w:eastAsia="仿宋" w:cs="Times New Roman"/>
          <w:color w:val="auto"/>
          <w:sz w:val="28"/>
          <w:szCs w:val="28"/>
        </w:rPr>
        <w:t>”</w:t>
      </w:r>
      <w:r>
        <w:rPr>
          <w:rFonts w:hint="eastAsia" w:ascii="仿宋" w:hAnsi="仿宋" w:eastAsia="仿宋" w:cs="Times New Roman"/>
          <w:color w:val="auto"/>
          <w:sz w:val="28"/>
          <w:szCs w:val="28"/>
        </w:rPr>
        <w:t>与</w:t>
      </w:r>
      <w:r>
        <w:rPr>
          <w:rFonts w:ascii="仿宋" w:hAnsi="仿宋" w:eastAsia="仿宋" w:cs="Times New Roman"/>
          <w:color w:val="auto"/>
          <w:sz w:val="28"/>
          <w:szCs w:val="28"/>
        </w:rPr>
        <w:t>“</w:t>
      </w:r>
      <w:r>
        <w:rPr>
          <w:rFonts w:hint="eastAsia" w:ascii="仿宋" w:hAnsi="仿宋" w:eastAsia="仿宋" w:cs="Times New Roman"/>
          <w:color w:val="auto"/>
          <w:sz w:val="28"/>
          <w:szCs w:val="28"/>
        </w:rPr>
        <w:t>团体辅导</w:t>
      </w:r>
      <w:r>
        <w:rPr>
          <w:rFonts w:ascii="仿宋" w:hAnsi="仿宋" w:eastAsia="仿宋" w:cs="Times New Roman"/>
          <w:color w:val="auto"/>
          <w:sz w:val="28"/>
          <w:szCs w:val="28"/>
        </w:rPr>
        <w:t>”</w:t>
      </w:r>
      <w:r>
        <w:rPr>
          <w:rFonts w:hint="eastAsia" w:ascii="仿宋" w:hAnsi="仿宋" w:eastAsia="仿宋" w:cs="Times New Roman"/>
          <w:color w:val="auto"/>
          <w:sz w:val="28"/>
          <w:szCs w:val="28"/>
        </w:rPr>
        <w:t>相结合的制度，帮助学习困难学生解决实际问题。重视学习型和专业型学生社团建设，以丰富多彩的社团活动为载体，指导大学生树立正确专业意识，找到适合自己的学习方法，为今后的专业成长打下基础。</w:t>
      </w:r>
    </w:p>
    <w:p>
      <w:pPr>
        <w:pStyle w:val="12"/>
        <w:spacing w:line="480" w:lineRule="exact"/>
        <w:ind w:firstLine="641"/>
        <w:rPr>
          <w:rFonts w:ascii="仿宋" w:hAnsi="仿宋" w:eastAsia="仿宋" w:cs="Times New Roman"/>
          <w:color w:val="auto"/>
          <w:sz w:val="28"/>
          <w:szCs w:val="28"/>
        </w:rPr>
      </w:pPr>
      <w:r>
        <w:rPr>
          <w:rFonts w:ascii="仿宋" w:hAnsi="仿宋" w:eastAsia="仿宋" w:cs="Times New Roman"/>
          <w:color w:val="auto"/>
          <w:sz w:val="28"/>
          <w:szCs w:val="28"/>
        </w:rPr>
        <w:t>4.</w:t>
      </w:r>
      <w:r>
        <w:rPr>
          <w:rFonts w:hint="eastAsia" w:ascii="仿宋" w:hAnsi="仿宋" w:eastAsia="仿宋" w:cs="Times New Roman"/>
          <w:color w:val="auto"/>
          <w:sz w:val="28"/>
          <w:szCs w:val="28"/>
        </w:rPr>
        <w:t>聚焦发展需求。立足学生的发展需求，挖掘学校优势与特色，拓展资源分享平台。进一步关注考研学生学习、生活，为他们提供学业、心理方面的针对性支持与指导，推动更多学生成功升学。精心打造内容丰富、形式众多的第二课堂，充实大学生的课余文化生活。建立校级、院级实践创新创业团队，组织学生参加寒暑假社会实践与国内外技能比赛，搭建锻炼和展示的舞台，培养学生的实践精神，提高学生动手能力和创新创业能力，形成以实践促学、以赛促学的良好学风。</w:t>
      </w:r>
    </w:p>
    <w:p>
      <w:pPr>
        <w:spacing w:line="480" w:lineRule="exact"/>
        <w:ind w:firstLine="641"/>
        <w:rPr>
          <w:rFonts w:ascii="楷体_GB2312" w:eastAsia="楷体_GB2312"/>
          <w:sz w:val="28"/>
          <w:szCs w:val="28"/>
        </w:rPr>
      </w:pPr>
      <w:r>
        <w:rPr>
          <w:rFonts w:ascii="楷体_GB2312" w:eastAsia="楷体_GB2312"/>
          <w:sz w:val="28"/>
          <w:szCs w:val="28"/>
        </w:rPr>
        <w:t>（六）创新网络凝聚人气，加强网络思想政治教育工作</w:t>
      </w:r>
    </w:p>
    <w:p>
      <w:pPr>
        <w:spacing w:line="480" w:lineRule="exact"/>
        <w:ind w:firstLine="641"/>
        <w:rPr>
          <w:rFonts w:ascii="仿宋" w:hAnsi="仿宋" w:eastAsia="仿宋"/>
          <w:sz w:val="28"/>
          <w:szCs w:val="28"/>
        </w:rPr>
      </w:pPr>
      <w:r>
        <w:rPr>
          <w:rFonts w:ascii="仿宋" w:hAnsi="仿宋" w:eastAsia="仿宋"/>
          <w:sz w:val="28"/>
          <w:szCs w:val="28"/>
        </w:rPr>
        <w:t>1.加强网络阵地建设。以“易班”为开展网络思政的主要抓手，积极推动建立辅导员网络文化工作室，构建师生共同参与的网络互动社区，在网络中化被动为主动，探寻大学生网络行为特点，研究网络思政教育的规律，提高网络平台中师生互动的活跃度，提升网络互动社区的影响力和育人效应。整合学校已有的网络资源如达达马、上海电机学院微信公众号、各学院团总支微信公众号等，在舆情监控、诉求解读、思想导向、文化引领等方面形成网络思政合力，发挥网络平台应有的育人功能。</w:t>
      </w:r>
    </w:p>
    <w:p>
      <w:pPr>
        <w:spacing w:line="480" w:lineRule="exact"/>
        <w:ind w:firstLine="641"/>
        <w:rPr>
          <w:rFonts w:ascii="仿宋" w:hAnsi="仿宋" w:eastAsia="仿宋"/>
          <w:sz w:val="28"/>
          <w:szCs w:val="28"/>
        </w:rPr>
      </w:pPr>
      <w:r>
        <w:rPr>
          <w:rFonts w:ascii="仿宋" w:hAnsi="仿宋" w:eastAsia="仿宋"/>
          <w:sz w:val="28"/>
          <w:szCs w:val="28"/>
        </w:rPr>
        <w:t>2.培育网络思政团队。强化网络思政团队建设，制定、完善网络思政的工作机制，提升工作的规范性和有效性，在上海电机学院易班建设领导小组的统领下，形成师生两线、校院班三级的队伍构建，继续落实辅导员“双重”带班理念，加强网络思政工作团队建设。培养一批网络文化引领人。网络文化引领人担负着“意见领袖”的职责，要肩负起澄清网络风气、引导网络舆情、启发网上学习、推动良好网络文化形成的重要责任。网络文化引领人可以由师生共同担任，学校要着力于培养他们网络创作与网络沟通能力，提升网络原创作品的质量和网络互动的及时性、有效性；不断提升他们舆情监测、研判、引导、处置的专业化能力，做到负面舆情的早发现、早引导、早控制。</w:t>
      </w:r>
    </w:p>
    <w:p>
      <w:pPr>
        <w:spacing w:line="480" w:lineRule="exact"/>
        <w:ind w:firstLine="641"/>
        <w:rPr>
          <w:rFonts w:ascii="仿宋" w:hAnsi="仿宋" w:eastAsia="仿宋"/>
          <w:sz w:val="28"/>
          <w:szCs w:val="28"/>
        </w:rPr>
      </w:pPr>
      <w:r>
        <w:rPr>
          <w:rFonts w:ascii="仿宋" w:hAnsi="仿宋" w:eastAsia="仿宋"/>
          <w:sz w:val="28"/>
          <w:szCs w:val="28"/>
        </w:rPr>
        <w:t>3.孵化原创网络文化。网络思政的开展需要载体，这个载体的形式可以丰富多样，文字、视频、音频、图片都能成为思想政治工作开展的切入点。因此，要立足学校、学院的特色，结合大学生精神文化发展的需求，形成一批高质量的网络原创作品，包括贴近生活、贴近实际、贴近学生的网络原创文章，以及大学生喜闻乐见、制作精良、寓教于乐的新媒体作品。</w:t>
      </w:r>
    </w:p>
    <w:p>
      <w:pPr>
        <w:spacing w:line="480" w:lineRule="exact"/>
        <w:ind w:firstLine="641"/>
        <w:rPr>
          <w:rFonts w:ascii="仿宋" w:hAnsi="仿宋" w:eastAsia="仿宋"/>
          <w:sz w:val="28"/>
          <w:szCs w:val="28"/>
        </w:rPr>
      </w:pPr>
      <w:r>
        <w:rPr>
          <w:rFonts w:ascii="仿宋" w:hAnsi="仿宋" w:eastAsia="仿宋"/>
          <w:sz w:val="28"/>
          <w:szCs w:val="28"/>
        </w:rPr>
        <w:t>4.构建大学生德育工作网络数据库。以打通学校学工、教务、就业、财务等信息化系统的数据库为基础，实现信息资源的互通互联，构建大学生德育工作的大数据后台支撑体系；全力推进易班、达达马微信与校内已有信息化系统的资源整合，深耕校内外德育教育资源，创新网络思想政治教育工作新局面。</w:t>
      </w:r>
    </w:p>
    <w:p>
      <w:pPr>
        <w:spacing w:line="480" w:lineRule="exact"/>
        <w:ind w:firstLine="641"/>
        <w:rPr>
          <w:rFonts w:ascii="楷体_GB2312" w:eastAsia="楷体_GB2312"/>
          <w:sz w:val="28"/>
          <w:szCs w:val="28"/>
        </w:rPr>
      </w:pPr>
      <w:r>
        <w:rPr>
          <w:rFonts w:ascii="楷体_GB2312" w:eastAsia="楷体_GB2312"/>
          <w:sz w:val="28"/>
          <w:szCs w:val="28"/>
        </w:rPr>
        <w:t>（七）进一步完善各类自育平台，实现学生自主全面发展</w:t>
      </w:r>
    </w:p>
    <w:p>
      <w:pPr>
        <w:spacing w:line="480" w:lineRule="exact"/>
        <w:ind w:firstLine="641"/>
        <w:rPr>
          <w:rFonts w:ascii="仿宋" w:hAnsi="仿宋" w:eastAsia="仿宋"/>
          <w:sz w:val="28"/>
          <w:szCs w:val="28"/>
        </w:rPr>
      </w:pPr>
      <w:r>
        <w:rPr>
          <w:rFonts w:ascii="仿宋" w:hAnsi="仿宋" w:eastAsia="仿宋"/>
          <w:sz w:val="28"/>
          <w:szCs w:val="28"/>
        </w:rPr>
        <w:t>1.提升各类大学生自育平台内涵。立足电机特色及学校实际，以“自育”为核心，深度发掘有效提升各类自育平台和资源。实现学生事务中心的功能化提升，通过设立学生助理岗位，逐步实现学生自我管理、自我服务；通过学生会、义工队、小海鸥等各种自治组织，“实现自我管理”培养学生主体能力，“推动自我发展”塑造学生主体人格。进一步加强平台和资源两方面的基础建设，创新与完善现有自育平台服务，大力拓展校外社会资源，打造系列品牌自育平台，提升资源系统利用率，使学生服务面更大，受益面更广。</w:t>
      </w:r>
    </w:p>
    <w:p>
      <w:pPr>
        <w:spacing w:line="480" w:lineRule="exact"/>
        <w:ind w:firstLine="641"/>
        <w:rPr>
          <w:rFonts w:ascii="仿宋" w:hAnsi="仿宋" w:eastAsia="仿宋"/>
          <w:sz w:val="28"/>
          <w:szCs w:val="28"/>
        </w:rPr>
      </w:pPr>
      <w:r>
        <w:rPr>
          <w:rFonts w:ascii="仿宋" w:hAnsi="仿宋" w:eastAsia="仿宋"/>
          <w:sz w:val="28"/>
          <w:szCs w:val="28"/>
        </w:rPr>
        <w:t>2.构建大学生社会实践长效平台。加强和完善大学生社会实践平台建设，推动实践育人常态化和机制化。加强暑期社会实践育人平台，到2020年，建设50家社会实践基地，推动年均200人挂职锻炼、3000人参与各类暑期实践；加强文化实践育人平台，到2020年，建设20项文化育人项目，推动艺术团、“年轻的风”校园歌手大赛等大型文化项目建设；加强创新项目实践平台建设，到2020年，建设3个大学生科技创新平台，完善大学生创新活动计划、大学生工程创新中心、大学生创新基金等工作引领。加强实践育人长效机制建设，整合各类资源制定并实施《上海电机学院大学生实践育人平台建设办法》。</w:t>
      </w:r>
    </w:p>
    <w:p>
      <w:pPr>
        <w:spacing w:line="480" w:lineRule="exact"/>
        <w:ind w:firstLine="641"/>
        <w:rPr>
          <w:rFonts w:ascii="仿宋" w:hAnsi="仿宋" w:eastAsia="仿宋"/>
          <w:sz w:val="28"/>
          <w:szCs w:val="28"/>
        </w:rPr>
      </w:pPr>
      <w:r>
        <w:rPr>
          <w:rFonts w:ascii="仿宋" w:hAnsi="仿宋" w:eastAsia="仿宋"/>
          <w:sz w:val="28"/>
          <w:szCs w:val="28"/>
        </w:rPr>
        <w:t>3.建设创新创业孵化基地。呼应“大众创新，万众创业”，引领更多大学生积极、稳健地投身“双创”。到2020年，学校将建设至少3个创新创业基地，区域覆盖闵行、浦东两个区域；至少投入100万创业基金，重点开展100项大学生创业项目；加强创业苗圃建设，孵化至少20家创业公司，支持10家左右公司拿到上海市大学生创业基金支持，2-3家公司获得风险投资支持。</w:t>
      </w:r>
    </w:p>
    <w:p>
      <w:pPr>
        <w:spacing w:line="480" w:lineRule="exact"/>
        <w:ind w:firstLine="641"/>
        <w:rPr>
          <w:rFonts w:ascii="仿宋" w:hAnsi="仿宋" w:eastAsia="仿宋"/>
          <w:sz w:val="28"/>
          <w:szCs w:val="28"/>
        </w:rPr>
      </w:pPr>
    </w:p>
    <w:p>
      <w:pPr>
        <w:spacing w:line="480" w:lineRule="exact"/>
        <w:ind w:firstLine="640"/>
        <w:rPr>
          <w:rFonts w:ascii="黑体" w:eastAsia="黑体"/>
          <w:sz w:val="28"/>
          <w:szCs w:val="28"/>
        </w:rPr>
      </w:pPr>
      <w:r>
        <w:rPr>
          <w:rFonts w:ascii="黑体" w:eastAsia="黑体"/>
          <w:sz w:val="28"/>
          <w:szCs w:val="28"/>
        </w:rPr>
        <w:t>五、保障措施</w:t>
      </w:r>
    </w:p>
    <w:p>
      <w:pPr>
        <w:spacing w:line="480" w:lineRule="exact"/>
        <w:ind w:firstLine="640"/>
        <w:rPr>
          <w:rFonts w:ascii="仿宋" w:hAnsi="仿宋" w:eastAsia="仿宋"/>
          <w:sz w:val="28"/>
          <w:szCs w:val="28"/>
        </w:rPr>
      </w:pPr>
      <w:r>
        <w:rPr>
          <w:rFonts w:ascii="仿宋" w:hAnsi="仿宋" w:eastAsia="仿宋"/>
          <w:sz w:val="28"/>
          <w:szCs w:val="28"/>
        </w:rPr>
        <w:t>上海电机学院大学生德育“十三五”规划的进一步深入推进需要以下几个方面的保障。</w:t>
      </w:r>
    </w:p>
    <w:p>
      <w:pPr>
        <w:spacing w:line="480" w:lineRule="exact"/>
        <w:ind w:firstLine="641"/>
        <w:rPr>
          <w:rFonts w:ascii="楷体_GB2312" w:eastAsia="楷体_GB2312"/>
          <w:sz w:val="28"/>
          <w:szCs w:val="28"/>
        </w:rPr>
      </w:pPr>
      <w:r>
        <w:rPr>
          <w:rFonts w:ascii="楷体_GB2312" w:eastAsia="楷体_GB2312"/>
          <w:sz w:val="28"/>
          <w:szCs w:val="28"/>
        </w:rPr>
        <w:t>（一）组织人员保障</w:t>
      </w:r>
    </w:p>
    <w:p>
      <w:pPr>
        <w:spacing w:line="480" w:lineRule="exact"/>
        <w:ind w:firstLine="640"/>
        <w:rPr>
          <w:rFonts w:ascii="仿宋" w:hAnsi="仿宋" w:eastAsia="仿宋"/>
          <w:sz w:val="28"/>
          <w:szCs w:val="28"/>
        </w:rPr>
      </w:pPr>
      <w:r>
        <w:rPr>
          <w:rFonts w:ascii="仿宋" w:hAnsi="仿宋" w:eastAsia="仿宋"/>
          <w:sz w:val="28"/>
          <w:szCs w:val="28"/>
        </w:rPr>
        <w:t>1.统筹规划，明确大学生德育工作组织架构</w:t>
      </w:r>
    </w:p>
    <w:p>
      <w:pPr>
        <w:spacing w:line="480" w:lineRule="exact"/>
        <w:ind w:firstLine="640"/>
        <w:rPr>
          <w:rFonts w:ascii="仿宋" w:hAnsi="仿宋" w:eastAsia="仿宋"/>
          <w:sz w:val="28"/>
          <w:szCs w:val="28"/>
        </w:rPr>
      </w:pPr>
      <w:r>
        <w:rPr>
          <w:rFonts w:ascii="仿宋" w:hAnsi="仿宋" w:eastAsia="仿宋"/>
          <w:sz w:val="28"/>
          <w:szCs w:val="28"/>
        </w:rPr>
        <w:t>大学生德育工作运行机制上，实行党委领导，党政齐抓共管，各部门密切配合，相互协调，真正形成德育合力，并直接落实到大学生德育工作第一线。</w:t>
      </w:r>
    </w:p>
    <w:p>
      <w:pPr>
        <w:spacing w:line="480" w:lineRule="exact"/>
        <w:ind w:firstLine="640"/>
        <w:rPr>
          <w:rFonts w:ascii="仿宋" w:hAnsi="仿宋" w:eastAsia="仿宋"/>
          <w:sz w:val="28"/>
          <w:szCs w:val="28"/>
        </w:rPr>
      </w:pPr>
      <w:r>
        <w:rPr>
          <w:rFonts w:ascii="仿宋" w:hAnsi="仿宋" w:eastAsia="仿宋"/>
          <w:sz w:val="28"/>
          <w:szCs w:val="28"/>
        </w:rPr>
        <w:t>学校成立大学生德育工作领导小组，负责总体统筹，统一协调各部门之间的关系，研究推进大学生德育工作中的重大问题。领导小组依托学生工作指导委员会，具体协调各大学生德育职能部门开展日常大学生德育工作。</w:t>
      </w:r>
    </w:p>
    <w:p>
      <w:pPr>
        <w:spacing w:line="480" w:lineRule="exact"/>
        <w:ind w:firstLine="640"/>
        <w:rPr>
          <w:rFonts w:ascii="仿宋" w:hAnsi="仿宋" w:eastAsia="仿宋"/>
          <w:sz w:val="28"/>
          <w:szCs w:val="28"/>
        </w:rPr>
      </w:pPr>
      <w:r>
        <w:rPr>
          <w:rFonts w:ascii="仿宋" w:hAnsi="仿宋" w:eastAsia="仿宋"/>
          <w:sz w:val="28"/>
          <w:szCs w:val="28"/>
        </w:rPr>
        <w:t>学校其他相关部门要为大学生德育工作队伍的建设和大学生德育工作的实施提供制度保证并承担德育职能。梳理各管理岗位的育人元素，提升各部门联动工作的意识，推动加强部门协作，建立联动机制和合作机制，形成育人合力。</w:t>
      </w:r>
    </w:p>
    <w:p>
      <w:pPr>
        <w:spacing w:line="480" w:lineRule="exact"/>
        <w:ind w:firstLine="640"/>
        <w:rPr>
          <w:rFonts w:ascii="仿宋" w:hAnsi="仿宋" w:eastAsia="仿宋"/>
          <w:sz w:val="28"/>
          <w:szCs w:val="28"/>
        </w:rPr>
      </w:pPr>
      <w:r>
        <w:rPr>
          <w:rFonts w:ascii="仿宋" w:hAnsi="仿宋" w:eastAsia="仿宋"/>
          <w:sz w:val="28"/>
          <w:szCs w:val="28"/>
        </w:rPr>
        <w:t>进一步推动管理重心下移，增强二级学院学生管理和服务工作的自主权和灵活性，逐渐规范二级学院学生工作的自主管理模式，不断提升管理水平，实行目标责任制管理，形成以“宏观调控，微观激活”为特征的校、院两级学生工作体制。</w:t>
      </w:r>
    </w:p>
    <w:p>
      <w:pPr>
        <w:spacing w:line="480" w:lineRule="exact"/>
        <w:ind w:firstLine="640"/>
        <w:rPr>
          <w:rFonts w:ascii="仿宋" w:hAnsi="仿宋" w:eastAsia="仿宋"/>
          <w:sz w:val="28"/>
          <w:szCs w:val="28"/>
        </w:rPr>
      </w:pPr>
      <w:r>
        <w:rPr>
          <w:rFonts w:ascii="仿宋" w:hAnsi="仿宋" w:eastAsia="仿宋"/>
          <w:sz w:val="28"/>
          <w:szCs w:val="28"/>
        </w:rPr>
        <w:t>2.聚焦人才队伍，确保大学生德育工作关键环节</w:t>
      </w:r>
    </w:p>
    <w:p>
      <w:pPr>
        <w:spacing w:line="480" w:lineRule="exact"/>
        <w:ind w:firstLine="640"/>
        <w:rPr>
          <w:rFonts w:ascii="仿宋" w:hAnsi="仿宋" w:eastAsia="仿宋"/>
          <w:sz w:val="28"/>
          <w:szCs w:val="28"/>
        </w:rPr>
      </w:pPr>
      <w:r>
        <w:rPr>
          <w:rFonts w:ascii="仿宋" w:hAnsi="仿宋" w:eastAsia="仿宋"/>
          <w:sz w:val="28"/>
          <w:szCs w:val="28"/>
        </w:rPr>
        <w:t>辅导员培训应该纳入学校师资队伍和干部队伍培训整体规划。保障辅导员培训的常态化、规范化，定期组织校内日常培训、骨干研修培训、主题教育培训等。推动辅导员5年一轮提升计划，选拔优秀辅导员参加由教育部、上海市教育委员会等组织的中长期培训，为辅导员提供国内国际交流学习和研修深造的机会，创造条件支持辅导员到地方党政机关、企业、基层等挂职锻炼。加强辅导员队伍职称评定工作的指导和支持。进一步细化辅导员职称评定的相关规定和工作考核指标，引导二级学院重视并鼓励辅导员积极参与思想政治课题的申报和研究，力争到“十三五”末时能够培养一定数量和比例、具有高级职称且在校内外具有一定影响力和示范带头作用的“明星辅导员”。</w:t>
      </w:r>
    </w:p>
    <w:p>
      <w:pPr>
        <w:spacing w:line="480" w:lineRule="exact"/>
        <w:ind w:firstLine="640"/>
        <w:rPr>
          <w:rFonts w:ascii="仿宋" w:hAnsi="仿宋" w:eastAsia="仿宋"/>
          <w:sz w:val="28"/>
          <w:szCs w:val="28"/>
        </w:rPr>
      </w:pPr>
      <w:r>
        <w:rPr>
          <w:rFonts w:ascii="仿宋" w:hAnsi="仿宋" w:eastAsia="仿宋"/>
          <w:sz w:val="28"/>
          <w:szCs w:val="28"/>
        </w:rPr>
        <w:t>3.整合教师资源，落实全员育人格局</w:t>
      </w:r>
    </w:p>
    <w:p>
      <w:pPr>
        <w:spacing w:line="480" w:lineRule="exact"/>
        <w:ind w:firstLine="640"/>
        <w:rPr>
          <w:rFonts w:ascii="仿宋" w:hAnsi="仿宋" w:eastAsia="仿宋"/>
          <w:sz w:val="28"/>
          <w:szCs w:val="28"/>
        </w:rPr>
      </w:pPr>
      <w:r>
        <w:rPr>
          <w:rFonts w:ascii="仿宋" w:hAnsi="仿宋" w:eastAsia="仿宋"/>
          <w:sz w:val="28"/>
          <w:szCs w:val="28"/>
        </w:rPr>
        <w:t>鼓励新进专业教师兼职从事德育工作，对于合格兼职从事德育工作的教师在职称晋升上给予同等条件优先的激励。完善教师激励计划，将全体参加激励计划的教师纳入到学业导师范围。党委教师工作部、教师发展中心、人力资源处通过完善教师工作职责与监督考核机制，切实发挥学业导师的育人作用。</w:t>
      </w:r>
    </w:p>
    <w:p>
      <w:pPr>
        <w:spacing w:line="480" w:lineRule="exact"/>
        <w:ind w:firstLine="641"/>
        <w:rPr>
          <w:rFonts w:ascii="楷体_GB2312" w:eastAsia="楷体_GB2312"/>
          <w:sz w:val="28"/>
          <w:szCs w:val="28"/>
        </w:rPr>
      </w:pPr>
      <w:r>
        <w:rPr>
          <w:rFonts w:ascii="楷体_GB2312" w:eastAsia="楷体_GB2312"/>
          <w:sz w:val="28"/>
          <w:szCs w:val="28"/>
        </w:rPr>
        <w:t>（二）制度保障</w:t>
      </w:r>
    </w:p>
    <w:p>
      <w:pPr>
        <w:spacing w:line="480" w:lineRule="exact"/>
        <w:ind w:firstLine="640"/>
        <w:rPr>
          <w:rFonts w:ascii="仿宋" w:hAnsi="仿宋" w:eastAsia="仿宋"/>
          <w:sz w:val="28"/>
          <w:szCs w:val="28"/>
        </w:rPr>
      </w:pPr>
      <w:r>
        <w:rPr>
          <w:rFonts w:ascii="仿宋" w:hAnsi="仿宋" w:eastAsia="仿宋"/>
          <w:sz w:val="28"/>
          <w:szCs w:val="28"/>
        </w:rPr>
        <w:t>以《上海电机学院章程》为驱动力，进一步规范学生工作，明确各项学生管理和服务工作的原则和流程，结合学校“技术立校，应用为本”的办学方略，以学生的终身发展为目标，以学生的实际需求为出发点，以培养合格人才为落脚点，树立依法治校的育人思维，落实依法治校的育人模式。</w:t>
      </w:r>
    </w:p>
    <w:p>
      <w:pPr>
        <w:spacing w:line="480" w:lineRule="exact"/>
        <w:ind w:firstLine="640"/>
        <w:rPr>
          <w:rFonts w:ascii="仿宋" w:hAnsi="仿宋" w:eastAsia="仿宋"/>
          <w:sz w:val="28"/>
          <w:szCs w:val="28"/>
        </w:rPr>
      </w:pPr>
      <w:r>
        <w:rPr>
          <w:rFonts w:ascii="仿宋" w:hAnsi="仿宋" w:eastAsia="仿宋"/>
          <w:sz w:val="28"/>
          <w:szCs w:val="28"/>
        </w:rPr>
        <w:t>完善网络平台和自媒体运行和管理机制，充分利用网络思政平台，发挥网络思政的育人功能；增强网络思政的育人效果立足素质提升与能力发展，完善生活园区管理制度和政策支持；积极推动教学与就业衔接，以市场对人才需求的方向为导向，培养既具有学科特长，有符合行业需要的人才；深化学校创新创业教育改革的实施方案，明确指导思想、基本原则、总体目标，构建创新创业教育的组织机构和运行机制推行一系列切实可行的创新创业教育的新方法、新举措，努力实现创新创业教育与专业教育的有机融合。</w:t>
      </w:r>
    </w:p>
    <w:p>
      <w:pPr>
        <w:spacing w:line="480" w:lineRule="exact"/>
        <w:ind w:firstLine="641"/>
        <w:rPr>
          <w:rFonts w:ascii="楷体_GB2312" w:eastAsia="楷体_GB2312"/>
          <w:sz w:val="28"/>
          <w:szCs w:val="28"/>
        </w:rPr>
      </w:pPr>
      <w:r>
        <w:rPr>
          <w:rFonts w:ascii="楷体_GB2312" w:eastAsia="楷体_GB2312"/>
          <w:sz w:val="28"/>
          <w:szCs w:val="28"/>
        </w:rPr>
        <w:t>（三）经费保障</w:t>
      </w:r>
    </w:p>
    <w:p>
      <w:pPr>
        <w:spacing w:line="480" w:lineRule="exact"/>
        <w:ind w:firstLine="640"/>
        <w:rPr>
          <w:rFonts w:ascii="仿宋" w:hAnsi="仿宋" w:eastAsia="仿宋"/>
          <w:sz w:val="28"/>
          <w:szCs w:val="28"/>
        </w:rPr>
      </w:pPr>
      <w:r>
        <w:rPr>
          <w:rFonts w:ascii="仿宋" w:hAnsi="仿宋" w:eastAsia="仿宋"/>
          <w:sz w:val="28"/>
          <w:szCs w:val="28"/>
        </w:rPr>
        <w:t>学校在事业费和学杂费总收入中划定相应比例用于大学生德育教育工作经费。“十三五”期间，还要根据实际工作的需要，增加相关专项经费的投入，保障重点工作的推进。</w:t>
      </w:r>
    </w:p>
    <w:p>
      <w:pPr>
        <w:spacing w:line="480" w:lineRule="exact"/>
        <w:ind w:firstLine="640"/>
        <w:rPr>
          <w:rFonts w:ascii="仿宋" w:hAnsi="仿宋" w:eastAsia="仿宋"/>
          <w:sz w:val="28"/>
          <w:szCs w:val="28"/>
        </w:rPr>
      </w:pPr>
      <w:r>
        <w:rPr>
          <w:rFonts w:ascii="仿宋" w:hAnsi="仿宋" w:eastAsia="仿宋"/>
          <w:sz w:val="28"/>
          <w:szCs w:val="28"/>
        </w:rPr>
        <w:t>支持辅导员结合大学生思想政治教育的工作实践开展理论研究，鼓励辅导员开展“组团式”研究，以“工作室”为驱动探索辅导员专业化发展机制，为辅导员提升专业水平和科研能力提供条件保障。为辅导员协会和辅导员团队开展业务活动提供经费支持。为省部级以上项目/荣誉/课题培养提供启动经费，为获得省部级以上项目/荣誉/课题提供经费配套。</w:t>
      </w:r>
    </w:p>
    <w:p>
      <w:pPr>
        <w:spacing w:line="480" w:lineRule="exact"/>
        <w:ind w:firstLine="640"/>
        <w:rPr>
          <w:rFonts w:ascii="仿宋" w:hAnsi="仿宋" w:eastAsia="仿宋"/>
          <w:sz w:val="28"/>
          <w:szCs w:val="28"/>
        </w:rPr>
      </w:pPr>
      <w:r>
        <w:rPr>
          <w:rFonts w:ascii="仿宋" w:hAnsi="仿宋" w:eastAsia="仿宋"/>
          <w:sz w:val="28"/>
          <w:szCs w:val="28"/>
        </w:rPr>
        <w:t>设立启动经费与专项配套经费扶持网络思政工作，着力于探索网络思政工作开展的有效途径与方式以及网络思政工作的规律。</w:t>
      </w:r>
    </w:p>
    <w:p>
      <w:pPr>
        <w:spacing w:line="480" w:lineRule="exact"/>
        <w:ind w:firstLine="640"/>
        <w:rPr>
          <w:rFonts w:ascii="仿宋" w:hAnsi="仿宋" w:eastAsia="仿宋"/>
          <w:sz w:val="28"/>
          <w:szCs w:val="28"/>
        </w:rPr>
      </w:pPr>
      <w:r>
        <w:rPr>
          <w:rFonts w:ascii="仿宋" w:hAnsi="仿宋" w:eastAsia="仿宋"/>
          <w:sz w:val="28"/>
          <w:szCs w:val="28"/>
        </w:rPr>
        <w:t>深入推进学风建设工作，“十三五”末学风建设活动经费标准与学生活动经费标准匹配。支持就业质量提升工程，保证就业工作经费与学生活动经费同比增长，投入100万创业基金并开展100项大学生创业项目。</w:t>
      </w:r>
    </w:p>
    <w:p>
      <w:pPr>
        <w:spacing w:line="480" w:lineRule="exact"/>
        <w:ind w:firstLine="640"/>
        <w:rPr>
          <w:rFonts w:ascii="仿宋" w:hAnsi="仿宋" w:eastAsia="仿宋"/>
          <w:sz w:val="28"/>
          <w:szCs w:val="28"/>
        </w:rPr>
      </w:pPr>
      <w:r>
        <w:rPr>
          <w:rFonts w:ascii="仿宋" w:hAnsi="仿宋" w:eastAsia="仿宋"/>
          <w:sz w:val="28"/>
          <w:szCs w:val="28"/>
        </w:rPr>
        <w:t>支持学生事务中心的升级改造项目，在学生事务中心修缮完成的基础上，按照每平米1000元投入300万升级改造经费。</w:t>
      </w:r>
    </w:p>
    <w:p>
      <w:pPr>
        <w:spacing w:line="480" w:lineRule="exact"/>
        <w:ind w:firstLine="640"/>
        <w:rPr>
          <w:rFonts w:ascii="仿宋" w:hAnsi="仿宋" w:eastAsia="仿宋"/>
          <w:sz w:val="28"/>
          <w:szCs w:val="28"/>
        </w:rPr>
      </w:pPr>
      <w:r>
        <w:rPr>
          <w:rFonts w:ascii="仿宋" w:hAnsi="仿宋" w:eastAsia="仿宋"/>
          <w:sz w:val="28"/>
          <w:szCs w:val="28"/>
        </w:rPr>
        <w:t>保障大学生生活园区软硬件的投入和升级，确保1个书院1年20万元建设运行经费，1个特色活动室1年2万元建设维护经费。</w:t>
      </w:r>
    </w:p>
    <w:p>
      <w:pPr>
        <w:spacing w:line="480" w:lineRule="exact"/>
        <w:rPr>
          <w:rFonts w:hint="eastAsia" w:ascii="仿宋" w:hAnsi="仿宋" w:eastAsia="仿宋"/>
          <w:sz w:val="28"/>
          <w:szCs w:val="28"/>
        </w:rPr>
      </w:pPr>
    </w:p>
    <w:p>
      <w:pPr>
        <w:spacing w:line="480" w:lineRule="exact"/>
        <w:rPr>
          <w:rStyle w:val="10"/>
          <w:rFonts w:hint="eastAsia" w:ascii="仿宋" w:hAnsi="仿宋" w:eastAsia="仿宋" w:cs="仿宋"/>
          <w:sz w:val="28"/>
          <w:szCs w:val="28"/>
          <w:lang w:val="zh-TW" w:eastAsia="zh-TW"/>
        </w:rPr>
      </w:pPr>
      <w:r>
        <w:rPr>
          <w:rStyle w:val="10"/>
          <w:rFonts w:hint="eastAsia" w:ascii="仿宋" w:hAnsi="仿宋" w:eastAsia="仿宋" w:cs="仿宋"/>
          <w:sz w:val="28"/>
          <w:szCs w:val="28"/>
          <w:lang w:val="zh-TW" w:eastAsia="zh-TW"/>
        </w:rPr>
        <w:t>附：</w:t>
      </w:r>
    </w:p>
    <w:p>
      <w:pPr>
        <w:spacing w:line="480" w:lineRule="exact"/>
        <w:ind w:firstLine="640"/>
        <w:rPr>
          <w:rFonts w:ascii="仿宋" w:hAnsi="仿宋" w:eastAsia="仿宋"/>
          <w:b/>
          <w:bCs/>
          <w:sz w:val="28"/>
          <w:szCs w:val="28"/>
        </w:rPr>
      </w:pPr>
      <w:r>
        <w:rPr>
          <w:rFonts w:hint="eastAsia" w:ascii="仿宋" w:hAnsi="仿宋" w:eastAsia="仿宋"/>
          <w:b/>
          <w:bCs/>
          <w:sz w:val="28"/>
          <w:szCs w:val="28"/>
        </w:rPr>
        <w:t>表1</w:t>
      </w:r>
      <w:r>
        <w:rPr>
          <w:rFonts w:ascii="仿宋" w:hAnsi="仿宋" w:eastAsia="仿宋"/>
          <w:b/>
          <w:bCs/>
          <w:sz w:val="28"/>
          <w:szCs w:val="28"/>
        </w:rPr>
        <w:t xml:space="preserve"> 上海电机学院大学生德育“十三五”规划相关指标</w:t>
      </w:r>
    </w:p>
    <w:tbl>
      <w:tblPr>
        <w:tblStyle w:val="13"/>
        <w:tblW w:w="8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CellMar>
          <w:top w:w="0" w:type="dxa"/>
          <w:left w:w="0" w:type="dxa"/>
          <w:bottom w:w="0" w:type="dxa"/>
          <w:right w:w="0" w:type="dxa"/>
        </w:tblCellMar>
      </w:tblPr>
      <w:tblGrid>
        <w:gridCol w:w="1912"/>
        <w:gridCol w:w="6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CellMar>
            <w:top w:w="0" w:type="dxa"/>
            <w:left w:w="0" w:type="dxa"/>
            <w:bottom w:w="0" w:type="dxa"/>
            <w:right w:w="0" w:type="dxa"/>
          </w:tblCellMar>
        </w:tblPrEx>
        <w:trPr>
          <w:trHeight w:val="410" w:hRule="atLeast"/>
          <w:jc w:val="center"/>
        </w:trPr>
        <w:tc>
          <w:tcPr>
            <w:tcW w:w="1912" w:type="dxa"/>
            <w:shd w:val="clear" w:color="auto" w:fill="auto"/>
            <w:tcMar>
              <w:top w:w="80" w:type="dxa"/>
              <w:left w:w="80" w:type="dxa"/>
              <w:bottom w:w="80" w:type="dxa"/>
              <w:right w:w="80" w:type="dxa"/>
            </w:tcMar>
            <w:vAlign w:val="center"/>
          </w:tcPr>
          <w:p>
            <w:pPr>
              <w:spacing w:line="480" w:lineRule="exact"/>
              <w:jc w:val="center"/>
              <w:rPr>
                <w:rFonts w:ascii="仿宋" w:hAnsi="仿宋" w:eastAsia="仿宋"/>
                <w:kern w:val="2"/>
                <w:sz w:val="28"/>
                <w:szCs w:val="28"/>
              </w:rPr>
            </w:pPr>
            <w:r>
              <w:rPr>
                <w:rFonts w:ascii="仿宋" w:hAnsi="仿宋" w:eastAsia="仿宋"/>
                <w:kern w:val="2"/>
                <w:sz w:val="28"/>
                <w:szCs w:val="28"/>
              </w:rPr>
              <w:t>内  容</w:t>
            </w:r>
          </w:p>
        </w:tc>
        <w:tc>
          <w:tcPr>
            <w:tcW w:w="6388" w:type="dxa"/>
            <w:shd w:val="clear" w:color="auto" w:fill="auto"/>
            <w:tcMar>
              <w:top w:w="80" w:type="dxa"/>
              <w:left w:w="80" w:type="dxa"/>
              <w:bottom w:w="80" w:type="dxa"/>
              <w:right w:w="80" w:type="dxa"/>
            </w:tcMar>
            <w:vAlign w:val="center"/>
          </w:tcPr>
          <w:p>
            <w:pPr>
              <w:spacing w:line="480" w:lineRule="exact"/>
              <w:jc w:val="center"/>
              <w:rPr>
                <w:rFonts w:ascii="仿宋" w:hAnsi="仿宋" w:eastAsia="仿宋"/>
                <w:kern w:val="2"/>
                <w:sz w:val="28"/>
                <w:szCs w:val="28"/>
              </w:rPr>
            </w:pPr>
            <w:r>
              <w:rPr>
                <w:rFonts w:ascii="仿宋" w:hAnsi="仿宋" w:eastAsia="仿宋"/>
                <w:kern w:val="2"/>
                <w:sz w:val="28"/>
                <w:szCs w:val="28"/>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restart"/>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学风建设工程</w:t>
            </w: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毕业率同比提高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continue"/>
            <w:shd w:val="clear" w:color="auto" w:fill="auto"/>
          </w:tcPr>
          <w:p>
            <w:pPr>
              <w:spacing w:line="480" w:lineRule="exact"/>
              <w:ind w:firstLine="640"/>
              <w:rPr>
                <w:rFonts w:ascii="仿宋" w:hAnsi="仿宋" w:eastAsia="仿宋"/>
                <w:kern w:val="2"/>
                <w:sz w:val="28"/>
                <w:szCs w:val="28"/>
              </w:rPr>
            </w:pP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四六级通过率逐年提升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continue"/>
            <w:shd w:val="clear" w:color="auto" w:fill="auto"/>
          </w:tcPr>
          <w:p>
            <w:pPr>
              <w:spacing w:line="480" w:lineRule="exact"/>
              <w:ind w:firstLine="640"/>
              <w:rPr>
                <w:rFonts w:ascii="仿宋" w:hAnsi="仿宋" w:eastAsia="仿宋"/>
                <w:kern w:val="2"/>
                <w:sz w:val="28"/>
                <w:szCs w:val="28"/>
              </w:rPr>
            </w:pP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考研成功人数在2020年突破150人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restart"/>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团队建设工程</w:t>
            </w: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省部级以上项目/荣誉/辅导员工作室实现突破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continue"/>
            <w:shd w:val="clear" w:color="auto" w:fill="auto"/>
          </w:tcPr>
          <w:p>
            <w:pPr>
              <w:spacing w:line="480" w:lineRule="exact"/>
              <w:ind w:firstLine="640"/>
              <w:rPr>
                <w:rFonts w:ascii="仿宋" w:hAnsi="仿宋" w:eastAsia="仿宋"/>
                <w:kern w:val="2"/>
                <w:sz w:val="28"/>
                <w:szCs w:val="28"/>
              </w:rPr>
            </w:pP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任职3年以上的辅导员持证率达到100%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continue"/>
            <w:shd w:val="clear" w:color="auto" w:fill="auto"/>
          </w:tcPr>
          <w:p>
            <w:pPr>
              <w:spacing w:line="480" w:lineRule="exact"/>
              <w:ind w:firstLine="640"/>
              <w:rPr>
                <w:rFonts w:ascii="仿宋" w:hAnsi="仿宋" w:eastAsia="仿宋"/>
                <w:kern w:val="2"/>
                <w:sz w:val="28"/>
                <w:szCs w:val="28"/>
              </w:rPr>
            </w:pP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普及辅导员5年一轮提升计划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0" w:hRule="atLeast"/>
          <w:jc w:val="center"/>
        </w:trPr>
        <w:tc>
          <w:tcPr>
            <w:tcW w:w="1912" w:type="dxa"/>
            <w:vMerge w:val="restart"/>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园区书院工程</w:t>
            </w:r>
          </w:p>
        </w:tc>
        <w:tc>
          <w:tcPr>
            <w:tcW w:w="6388" w:type="dxa"/>
            <w:shd w:val="clear" w:color="auto" w:fill="FFFFFF"/>
            <w:tcMar>
              <w:top w:w="0" w:type="dxa"/>
              <w:left w:w="0" w:type="dxa"/>
              <w:bottom w:w="0" w:type="dxa"/>
              <w:right w:w="0" w:type="dxa"/>
            </w:tcMar>
          </w:tcPr>
          <w:p>
            <w:pPr>
              <w:spacing w:line="480" w:lineRule="exact"/>
              <w:rPr>
                <w:rFonts w:ascii="仿宋" w:hAnsi="仿宋" w:eastAsia="仿宋"/>
                <w:kern w:val="2"/>
                <w:sz w:val="28"/>
                <w:szCs w:val="28"/>
              </w:rPr>
            </w:pPr>
            <w:r>
              <w:rPr>
                <w:rFonts w:ascii="仿宋" w:hAnsi="仿宋" w:eastAsia="仿宋"/>
                <w:kern w:val="2"/>
                <w:sz w:val="28"/>
                <w:szCs w:val="28"/>
              </w:rPr>
              <w:t>试点德泰学苑引入书院制的管理服务理念和制度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continue"/>
            <w:shd w:val="clear" w:color="auto" w:fill="auto"/>
          </w:tcPr>
          <w:p>
            <w:pPr>
              <w:spacing w:line="480" w:lineRule="exact"/>
              <w:ind w:firstLine="640"/>
              <w:rPr>
                <w:rFonts w:ascii="仿宋" w:hAnsi="仿宋" w:eastAsia="仿宋"/>
                <w:kern w:val="2"/>
                <w:sz w:val="28"/>
                <w:szCs w:val="28"/>
              </w:rPr>
            </w:pP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普及园区中的活动室、创新实验室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continue"/>
            <w:shd w:val="clear" w:color="auto" w:fill="auto"/>
          </w:tcPr>
          <w:p>
            <w:pPr>
              <w:spacing w:line="480" w:lineRule="exact"/>
              <w:ind w:firstLine="640"/>
              <w:rPr>
                <w:rFonts w:ascii="仿宋" w:hAnsi="仿宋" w:eastAsia="仿宋"/>
                <w:kern w:val="2"/>
                <w:sz w:val="28"/>
                <w:szCs w:val="28"/>
              </w:rPr>
            </w:pP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生活园区无安全稳定责任事故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restart"/>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就业质量提升工程</w:t>
            </w: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初次就业率达到97%、签约率达到88%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continue"/>
            <w:shd w:val="clear" w:color="auto" w:fill="auto"/>
          </w:tcPr>
          <w:p>
            <w:pPr>
              <w:spacing w:line="480" w:lineRule="exact"/>
              <w:ind w:firstLine="640"/>
              <w:rPr>
                <w:rFonts w:ascii="仿宋" w:hAnsi="仿宋" w:eastAsia="仿宋"/>
                <w:kern w:val="2"/>
                <w:sz w:val="28"/>
                <w:szCs w:val="28"/>
              </w:rPr>
            </w:pP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毕业生工作满意度逐年提升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continue"/>
            <w:shd w:val="clear" w:color="auto" w:fill="auto"/>
          </w:tcPr>
          <w:p>
            <w:pPr>
              <w:spacing w:line="480" w:lineRule="exact"/>
              <w:ind w:firstLine="640"/>
              <w:rPr>
                <w:rFonts w:ascii="仿宋" w:hAnsi="仿宋" w:eastAsia="仿宋"/>
                <w:kern w:val="2"/>
                <w:sz w:val="28"/>
                <w:szCs w:val="28"/>
              </w:rPr>
            </w:pP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起薪收入逐年提高，增长率高于当年通胀率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continue"/>
            <w:shd w:val="clear" w:color="auto" w:fill="auto"/>
          </w:tcPr>
          <w:p>
            <w:pPr>
              <w:spacing w:line="480" w:lineRule="exact"/>
              <w:ind w:firstLine="640"/>
              <w:rPr>
                <w:rFonts w:ascii="仿宋" w:hAnsi="仿宋" w:eastAsia="仿宋"/>
                <w:kern w:val="2"/>
                <w:sz w:val="28"/>
                <w:szCs w:val="28"/>
              </w:rPr>
            </w:pP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岗位与专业匹配度同比提升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restart"/>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网络思政工程</w:t>
            </w: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网络思政平台获市级以上挂牌/立项/奖项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continue"/>
            <w:shd w:val="clear" w:color="auto" w:fill="auto"/>
          </w:tcPr>
          <w:p>
            <w:pPr>
              <w:spacing w:line="480" w:lineRule="exact"/>
              <w:ind w:firstLine="640"/>
              <w:rPr>
                <w:rFonts w:ascii="仿宋" w:hAnsi="仿宋" w:eastAsia="仿宋"/>
                <w:kern w:val="2"/>
                <w:sz w:val="28"/>
                <w:szCs w:val="28"/>
              </w:rPr>
            </w:pP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网络信息获市教委及以上部门采录的数量逐年提升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restart"/>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自育平台建设</w:t>
            </w: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完成学生事务中心的升级改造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1912" w:type="dxa"/>
            <w:vMerge w:val="continue"/>
            <w:shd w:val="clear" w:color="auto" w:fill="auto"/>
          </w:tcPr>
          <w:p>
            <w:pPr>
              <w:spacing w:line="480" w:lineRule="exact"/>
              <w:ind w:firstLine="640"/>
              <w:rPr>
                <w:rFonts w:ascii="仿宋" w:hAnsi="仿宋" w:eastAsia="仿宋"/>
                <w:kern w:val="2"/>
                <w:sz w:val="28"/>
                <w:szCs w:val="28"/>
              </w:rPr>
            </w:pPr>
          </w:p>
        </w:tc>
        <w:tc>
          <w:tcPr>
            <w:tcW w:w="6388" w:type="dxa"/>
            <w:shd w:val="clear" w:color="auto" w:fill="auto"/>
            <w:tcMar>
              <w:top w:w="80" w:type="dxa"/>
              <w:left w:w="80" w:type="dxa"/>
              <w:bottom w:w="80" w:type="dxa"/>
              <w:right w:w="80" w:type="dxa"/>
            </w:tcMar>
            <w:vAlign w:val="center"/>
          </w:tcPr>
          <w:p>
            <w:pPr>
              <w:spacing w:line="480" w:lineRule="exact"/>
              <w:rPr>
                <w:rFonts w:ascii="仿宋" w:hAnsi="仿宋" w:eastAsia="仿宋"/>
                <w:kern w:val="2"/>
                <w:sz w:val="28"/>
                <w:szCs w:val="28"/>
              </w:rPr>
            </w:pPr>
            <w:r>
              <w:rPr>
                <w:rFonts w:ascii="仿宋" w:hAnsi="仿宋" w:eastAsia="仿宋"/>
                <w:kern w:val="2"/>
                <w:sz w:val="28"/>
                <w:szCs w:val="28"/>
              </w:rPr>
              <w:t>投入100万创业基金并开展100项大学生创业项目</w:t>
            </w:r>
          </w:p>
        </w:tc>
      </w:tr>
    </w:tbl>
    <w:p>
      <w:pPr>
        <w:spacing w:line="480" w:lineRule="exact"/>
        <w:ind w:left="8" w:hanging="8"/>
        <w:jc w:val="center"/>
        <w:rPr>
          <w:rFonts w:ascii="仿宋" w:hAnsi="仿宋" w:eastAsia="仿宋"/>
          <w:sz w:val="28"/>
          <w:szCs w:val="28"/>
        </w:rPr>
      </w:pPr>
    </w:p>
    <w:p>
      <w:pPr>
        <w:spacing w:line="480" w:lineRule="exact"/>
        <w:ind w:firstLine="640"/>
        <w:rPr>
          <w:rFonts w:ascii="仿宋" w:hAnsi="仿宋" w:eastAsia="仿宋"/>
          <w:sz w:val="28"/>
          <w:szCs w:val="28"/>
        </w:rPr>
      </w:pPr>
      <w:r>
        <w:rPr>
          <w:rFonts w:hint="eastAsia" w:ascii="仿宋" w:hAnsi="仿宋" w:eastAsia="仿宋" w:cs="宋体"/>
          <w:b/>
          <w:sz w:val="28"/>
          <w:szCs w:val="28"/>
        </w:rPr>
        <w:t xml:space="preserve">                </w:t>
      </w:r>
      <w:r>
        <w:rPr>
          <w:rFonts w:hint="eastAsia" w:ascii="仿宋" w:hAnsi="仿宋" w:eastAsia="仿宋" w:cs="宋体"/>
          <w:b/>
          <w:bCs w:val="0"/>
          <w:sz w:val="28"/>
          <w:szCs w:val="28"/>
        </w:rPr>
        <w:t xml:space="preserve">  </w:t>
      </w:r>
      <w:r>
        <w:rPr>
          <w:rFonts w:hint="eastAsia" w:ascii="仿宋" w:hAnsi="仿宋" w:eastAsia="仿宋"/>
          <w:b/>
          <w:bCs w:val="0"/>
          <w:sz w:val="28"/>
          <w:szCs w:val="28"/>
        </w:rPr>
        <w:t>表2</w:t>
      </w:r>
      <w:r>
        <w:rPr>
          <w:rFonts w:ascii="仿宋" w:hAnsi="仿宋" w:eastAsia="仿宋"/>
          <w:b/>
          <w:bCs w:val="0"/>
          <w:sz w:val="28"/>
          <w:szCs w:val="28"/>
        </w:rPr>
        <w:t xml:space="preserve"> </w:t>
      </w:r>
      <w:r>
        <w:rPr>
          <w:rFonts w:hint="eastAsia" w:ascii="仿宋" w:hAnsi="仿宋" w:eastAsia="仿宋"/>
          <w:b/>
          <w:bCs w:val="0"/>
          <w:sz w:val="28"/>
          <w:szCs w:val="28"/>
        </w:rPr>
        <w:t xml:space="preserve">经费预算  </w:t>
      </w:r>
      <w:r>
        <w:rPr>
          <w:rFonts w:hint="eastAsia" w:ascii="仿宋" w:hAnsi="仿宋" w:eastAsia="仿宋"/>
          <w:sz w:val="28"/>
          <w:szCs w:val="28"/>
        </w:rPr>
        <w:t xml:space="preserve">         （单位：万元）</w:t>
      </w:r>
    </w:p>
    <w:tbl>
      <w:tblPr>
        <w:tblStyle w:val="14"/>
        <w:tblW w:w="9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09"/>
        <w:gridCol w:w="892"/>
        <w:gridCol w:w="567"/>
        <w:gridCol w:w="851"/>
        <w:gridCol w:w="850"/>
        <w:gridCol w:w="567"/>
        <w:gridCol w:w="851"/>
        <w:gridCol w:w="850"/>
        <w:gridCol w:w="567"/>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450" w:type="dxa"/>
            <w:vMerge w:val="restart"/>
            <w:vAlign w:val="center"/>
          </w:tcPr>
          <w:p>
            <w:pPr>
              <w:spacing w:line="480" w:lineRule="exact"/>
              <w:jc w:val="center"/>
              <w:rPr>
                <w:rFonts w:ascii="仿宋" w:hAnsi="仿宋" w:eastAsia="仿宋"/>
                <w:kern w:val="0"/>
                <w:sz w:val="28"/>
                <w:szCs w:val="28"/>
              </w:rPr>
            </w:pPr>
            <w:r>
              <w:rPr>
                <w:rFonts w:hint="eastAsia" w:ascii="仿宋" w:hAnsi="仿宋" w:eastAsia="仿宋"/>
                <w:kern w:val="0"/>
                <w:sz w:val="28"/>
                <w:szCs w:val="28"/>
              </w:rPr>
              <w:t>内容</w:t>
            </w:r>
          </w:p>
        </w:tc>
        <w:tc>
          <w:tcPr>
            <w:tcW w:w="2268" w:type="dxa"/>
            <w:gridSpan w:val="3"/>
            <w:vAlign w:val="center"/>
          </w:tcPr>
          <w:p>
            <w:pPr>
              <w:spacing w:line="480" w:lineRule="exact"/>
              <w:ind w:firstLine="640"/>
              <w:rPr>
                <w:rFonts w:ascii="仿宋" w:hAnsi="仿宋" w:eastAsia="仿宋"/>
                <w:kern w:val="0"/>
                <w:sz w:val="28"/>
                <w:szCs w:val="28"/>
              </w:rPr>
            </w:pPr>
            <w:r>
              <w:rPr>
                <w:rFonts w:hint="eastAsia" w:ascii="仿宋" w:hAnsi="仿宋" w:eastAsia="仿宋"/>
                <w:kern w:val="0"/>
                <w:sz w:val="28"/>
                <w:szCs w:val="28"/>
              </w:rPr>
              <w:t>2018年</w:t>
            </w:r>
          </w:p>
        </w:tc>
        <w:tc>
          <w:tcPr>
            <w:tcW w:w="2268" w:type="dxa"/>
            <w:gridSpan w:val="3"/>
            <w:vAlign w:val="center"/>
          </w:tcPr>
          <w:p>
            <w:pPr>
              <w:spacing w:line="480" w:lineRule="exact"/>
              <w:ind w:firstLine="640"/>
              <w:rPr>
                <w:rFonts w:ascii="仿宋" w:hAnsi="仿宋" w:eastAsia="仿宋"/>
                <w:kern w:val="0"/>
                <w:sz w:val="28"/>
                <w:szCs w:val="28"/>
              </w:rPr>
            </w:pPr>
            <w:r>
              <w:rPr>
                <w:rFonts w:hint="eastAsia" w:ascii="仿宋" w:hAnsi="仿宋" w:eastAsia="仿宋"/>
                <w:kern w:val="0"/>
                <w:sz w:val="28"/>
                <w:szCs w:val="28"/>
              </w:rPr>
              <w:t>2019年</w:t>
            </w:r>
          </w:p>
        </w:tc>
        <w:tc>
          <w:tcPr>
            <w:tcW w:w="2268" w:type="dxa"/>
            <w:gridSpan w:val="3"/>
            <w:vAlign w:val="center"/>
          </w:tcPr>
          <w:p>
            <w:pPr>
              <w:spacing w:line="480" w:lineRule="exact"/>
              <w:ind w:firstLine="640"/>
              <w:rPr>
                <w:rFonts w:ascii="仿宋" w:hAnsi="仿宋" w:eastAsia="仿宋"/>
                <w:kern w:val="0"/>
                <w:sz w:val="28"/>
                <w:szCs w:val="28"/>
              </w:rPr>
            </w:pPr>
            <w:r>
              <w:rPr>
                <w:rFonts w:hint="eastAsia" w:ascii="仿宋" w:hAnsi="仿宋" w:eastAsia="仿宋"/>
                <w:kern w:val="0"/>
                <w:sz w:val="28"/>
                <w:szCs w:val="28"/>
              </w:rPr>
              <w:t>2020年</w:t>
            </w:r>
          </w:p>
        </w:tc>
        <w:tc>
          <w:tcPr>
            <w:tcW w:w="824" w:type="dxa"/>
            <w:vMerge w:val="restart"/>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450" w:type="dxa"/>
            <w:vMerge w:val="continue"/>
            <w:vAlign w:val="center"/>
          </w:tcPr>
          <w:p>
            <w:pPr>
              <w:spacing w:line="480" w:lineRule="exact"/>
              <w:ind w:firstLine="640"/>
              <w:rPr>
                <w:rFonts w:ascii="仿宋" w:hAnsi="仿宋" w:eastAsia="仿宋"/>
                <w:kern w:val="0"/>
                <w:sz w:val="28"/>
                <w:szCs w:val="28"/>
              </w:rPr>
            </w:pPr>
          </w:p>
        </w:tc>
        <w:tc>
          <w:tcPr>
            <w:tcW w:w="809"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学校财政预算</w:t>
            </w:r>
          </w:p>
        </w:tc>
        <w:tc>
          <w:tcPr>
            <w:tcW w:w="892"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政府竞争性项目</w:t>
            </w:r>
          </w:p>
        </w:tc>
        <w:tc>
          <w:tcPr>
            <w:tcW w:w="567"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横向支持</w:t>
            </w:r>
          </w:p>
        </w:tc>
        <w:tc>
          <w:tcPr>
            <w:tcW w:w="851"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学校财政预算</w:t>
            </w:r>
          </w:p>
        </w:tc>
        <w:tc>
          <w:tcPr>
            <w:tcW w:w="850"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政府竞争性项目</w:t>
            </w:r>
          </w:p>
        </w:tc>
        <w:tc>
          <w:tcPr>
            <w:tcW w:w="567"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横向支持</w:t>
            </w:r>
          </w:p>
        </w:tc>
        <w:tc>
          <w:tcPr>
            <w:tcW w:w="851"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学校财政预算</w:t>
            </w:r>
          </w:p>
        </w:tc>
        <w:tc>
          <w:tcPr>
            <w:tcW w:w="850"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政府竞争性项目</w:t>
            </w:r>
          </w:p>
        </w:tc>
        <w:tc>
          <w:tcPr>
            <w:tcW w:w="567"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横向支持</w:t>
            </w:r>
          </w:p>
        </w:tc>
        <w:tc>
          <w:tcPr>
            <w:tcW w:w="824" w:type="dxa"/>
            <w:vMerge w:val="continue"/>
            <w:vAlign w:val="center"/>
          </w:tcPr>
          <w:p>
            <w:pPr>
              <w:spacing w:line="480" w:lineRule="exact"/>
              <w:ind w:firstLine="640"/>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450"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创业基金</w:t>
            </w:r>
          </w:p>
        </w:tc>
        <w:tc>
          <w:tcPr>
            <w:tcW w:w="809" w:type="dxa"/>
            <w:vAlign w:val="center"/>
          </w:tcPr>
          <w:p>
            <w:pPr>
              <w:spacing w:line="480" w:lineRule="exact"/>
              <w:ind w:firstLine="640"/>
              <w:rPr>
                <w:rFonts w:ascii="仿宋" w:hAnsi="仿宋" w:eastAsia="仿宋"/>
                <w:kern w:val="0"/>
                <w:sz w:val="28"/>
                <w:szCs w:val="28"/>
              </w:rPr>
            </w:pPr>
          </w:p>
        </w:tc>
        <w:tc>
          <w:tcPr>
            <w:tcW w:w="892" w:type="dxa"/>
            <w:vAlign w:val="center"/>
          </w:tcPr>
          <w:p>
            <w:pPr>
              <w:spacing w:line="480" w:lineRule="exact"/>
              <w:ind w:firstLine="640"/>
              <w:rPr>
                <w:rFonts w:ascii="仿宋" w:hAnsi="仿宋" w:eastAsia="仿宋"/>
                <w:kern w:val="0"/>
                <w:sz w:val="28"/>
                <w:szCs w:val="28"/>
              </w:rPr>
            </w:pPr>
          </w:p>
        </w:tc>
        <w:tc>
          <w:tcPr>
            <w:tcW w:w="567" w:type="dxa"/>
            <w:vAlign w:val="center"/>
          </w:tcPr>
          <w:p>
            <w:pPr>
              <w:spacing w:line="480" w:lineRule="exact"/>
              <w:ind w:firstLine="640"/>
              <w:rPr>
                <w:rFonts w:ascii="仿宋" w:hAnsi="仿宋" w:eastAsia="仿宋"/>
                <w:kern w:val="0"/>
                <w:sz w:val="28"/>
                <w:szCs w:val="28"/>
              </w:rPr>
            </w:pPr>
          </w:p>
        </w:tc>
        <w:tc>
          <w:tcPr>
            <w:tcW w:w="851"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100</w:t>
            </w:r>
          </w:p>
        </w:tc>
        <w:tc>
          <w:tcPr>
            <w:tcW w:w="850" w:type="dxa"/>
            <w:vAlign w:val="center"/>
          </w:tcPr>
          <w:p>
            <w:pPr>
              <w:spacing w:line="480" w:lineRule="exact"/>
              <w:ind w:firstLine="640"/>
              <w:rPr>
                <w:rFonts w:ascii="仿宋" w:hAnsi="仿宋" w:eastAsia="仿宋"/>
                <w:kern w:val="0"/>
                <w:sz w:val="28"/>
                <w:szCs w:val="28"/>
              </w:rPr>
            </w:pPr>
          </w:p>
        </w:tc>
        <w:tc>
          <w:tcPr>
            <w:tcW w:w="567" w:type="dxa"/>
            <w:vAlign w:val="center"/>
          </w:tcPr>
          <w:p>
            <w:pPr>
              <w:spacing w:line="480" w:lineRule="exact"/>
              <w:ind w:firstLine="640"/>
              <w:rPr>
                <w:rFonts w:ascii="仿宋" w:hAnsi="仿宋" w:eastAsia="仿宋"/>
                <w:kern w:val="0"/>
                <w:sz w:val="28"/>
                <w:szCs w:val="28"/>
              </w:rPr>
            </w:pPr>
          </w:p>
        </w:tc>
        <w:tc>
          <w:tcPr>
            <w:tcW w:w="851"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100</w:t>
            </w:r>
          </w:p>
        </w:tc>
        <w:tc>
          <w:tcPr>
            <w:tcW w:w="850" w:type="dxa"/>
            <w:vAlign w:val="center"/>
          </w:tcPr>
          <w:p>
            <w:pPr>
              <w:spacing w:line="480" w:lineRule="exact"/>
              <w:ind w:firstLine="640"/>
              <w:rPr>
                <w:rFonts w:ascii="仿宋" w:hAnsi="仿宋" w:eastAsia="仿宋"/>
                <w:kern w:val="0"/>
                <w:sz w:val="28"/>
                <w:szCs w:val="28"/>
              </w:rPr>
            </w:pPr>
          </w:p>
        </w:tc>
        <w:tc>
          <w:tcPr>
            <w:tcW w:w="567" w:type="dxa"/>
            <w:vAlign w:val="center"/>
          </w:tcPr>
          <w:p>
            <w:pPr>
              <w:spacing w:line="480" w:lineRule="exact"/>
              <w:ind w:firstLine="640"/>
              <w:rPr>
                <w:rFonts w:ascii="仿宋" w:hAnsi="仿宋" w:eastAsia="仿宋"/>
                <w:kern w:val="0"/>
                <w:sz w:val="28"/>
                <w:szCs w:val="28"/>
              </w:rPr>
            </w:pPr>
          </w:p>
        </w:tc>
        <w:tc>
          <w:tcPr>
            <w:tcW w:w="824"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jc w:val="center"/>
        </w:trPr>
        <w:tc>
          <w:tcPr>
            <w:tcW w:w="14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ascii="仿宋" w:hAnsi="仿宋" w:eastAsia="仿宋"/>
                <w:kern w:val="0"/>
                <w:sz w:val="28"/>
                <w:szCs w:val="28"/>
              </w:rPr>
            </w:pPr>
            <w:r>
              <w:rPr>
                <w:rFonts w:hint="eastAsia" w:ascii="仿宋" w:hAnsi="仿宋" w:eastAsia="仿宋"/>
                <w:kern w:val="0"/>
                <w:sz w:val="28"/>
                <w:szCs w:val="28"/>
              </w:rPr>
              <w:t>学生事务中心升级改造项目</w:t>
            </w:r>
          </w:p>
        </w:tc>
        <w:tc>
          <w:tcPr>
            <w:tcW w:w="809" w:type="dxa"/>
            <w:vAlign w:val="center"/>
          </w:tcPr>
          <w:p>
            <w:pPr>
              <w:spacing w:line="480" w:lineRule="exact"/>
              <w:ind w:firstLine="640"/>
              <w:rPr>
                <w:rFonts w:ascii="仿宋" w:hAnsi="仿宋" w:eastAsia="仿宋"/>
                <w:kern w:val="0"/>
                <w:sz w:val="28"/>
                <w:szCs w:val="28"/>
              </w:rPr>
            </w:pPr>
          </w:p>
        </w:tc>
        <w:tc>
          <w:tcPr>
            <w:tcW w:w="892" w:type="dxa"/>
            <w:vAlign w:val="center"/>
          </w:tcPr>
          <w:p>
            <w:pPr>
              <w:spacing w:line="480" w:lineRule="exact"/>
              <w:ind w:firstLine="640"/>
              <w:rPr>
                <w:rFonts w:ascii="仿宋" w:hAnsi="仿宋" w:eastAsia="仿宋"/>
                <w:kern w:val="0"/>
                <w:sz w:val="28"/>
                <w:szCs w:val="28"/>
              </w:rPr>
            </w:pPr>
          </w:p>
        </w:tc>
        <w:tc>
          <w:tcPr>
            <w:tcW w:w="567" w:type="dxa"/>
            <w:vAlign w:val="center"/>
          </w:tcPr>
          <w:p>
            <w:pPr>
              <w:spacing w:line="480" w:lineRule="exact"/>
              <w:ind w:firstLine="640"/>
              <w:rPr>
                <w:rFonts w:ascii="仿宋" w:hAnsi="仿宋" w:eastAsia="仿宋"/>
                <w:kern w:val="0"/>
                <w:sz w:val="28"/>
                <w:szCs w:val="28"/>
              </w:rPr>
            </w:pPr>
          </w:p>
        </w:tc>
        <w:tc>
          <w:tcPr>
            <w:tcW w:w="851" w:type="dxa"/>
            <w:vAlign w:val="center"/>
          </w:tcPr>
          <w:p>
            <w:pPr>
              <w:spacing w:line="480" w:lineRule="exact"/>
              <w:ind w:firstLine="640"/>
              <w:rPr>
                <w:rFonts w:ascii="仿宋" w:hAnsi="仿宋" w:eastAsia="仿宋"/>
                <w:kern w:val="0"/>
                <w:sz w:val="28"/>
                <w:szCs w:val="28"/>
              </w:rPr>
            </w:pPr>
          </w:p>
        </w:tc>
        <w:tc>
          <w:tcPr>
            <w:tcW w:w="850"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300</w:t>
            </w:r>
          </w:p>
        </w:tc>
        <w:tc>
          <w:tcPr>
            <w:tcW w:w="567" w:type="dxa"/>
            <w:vAlign w:val="center"/>
          </w:tcPr>
          <w:p>
            <w:pPr>
              <w:spacing w:line="480" w:lineRule="exact"/>
              <w:ind w:firstLine="640"/>
              <w:rPr>
                <w:rFonts w:ascii="仿宋" w:hAnsi="仿宋" w:eastAsia="仿宋"/>
                <w:kern w:val="0"/>
                <w:sz w:val="28"/>
                <w:szCs w:val="28"/>
              </w:rPr>
            </w:pPr>
          </w:p>
        </w:tc>
        <w:tc>
          <w:tcPr>
            <w:tcW w:w="851" w:type="dxa"/>
            <w:vAlign w:val="center"/>
          </w:tcPr>
          <w:p>
            <w:pPr>
              <w:spacing w:line="480" w:lineRule="exact"/>
              <w:ind w:firstLine="640"/>
              <w:rPr>
                <w:rFonts w:ascii="仿宋" w:hAnsi="仿宋" w:eastAsia="仿宋"/>
                <w:kern w:val="0"/>
                <w:sz w:val="28"/>
                <w:szCs w:val="28"/>
              </w:rPr>
            </w:pPr>
          </w:p>
        </w:tc>
        <w:tc>
          <w:tcPr>
            <w:tcW w:w="850" w:type="dxa"/>
            <w:vAlign w:val="center"/>
          </w:tcPr>
          <w:p>
            <w:pPr>
              <w:spacing w:line="480" w:lineRule="exact"/>
              <w:ind w:firstLine="640"/>
              <w:rPr>
                <w:rFonts w:ascii="仿宋" w:hAnsi="仿宋" w:eastAsia="仿宋"/>
                <w:kern w:val="0"/>
                <w:sz w:val="28"/>
                <w:szCs w:val="28"/>
              </w:rPr>
            </w:pPr>
          </w:p>
        </w:tc>
        <w:tc>
          <w:tcPr>
            <w:tcW w:w="567" w:type="dxa"/>
            <w:vAlign w:val="center"/>
          </w:tcPr>
          <w:p>
            <w:pPr>
              <w:spacing w:line="480" w:lineRule="exact"/>
              <w:ind w:firstLine="640"/>
              <w:rPr>
                <w:rFonts w:ascii="仿宋" w:hAnsi="仿宋" w:eastAsia="仿宋"/>
                <w:kern w:val="0"/>
                <w:sz w:val="28"/>
                <w:szCs w:val="28"/>
              </w:rPr>
            </w:pPr>
          </w:p>
        </w:tc>
        <w:tc>
          <w:tcPr>
            <w:tcW w:w="824"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14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ascii="仿宋" w:hAnsi="仿宋" w:eastAsia="仿宋"/>
                <w:kern w:val="0"/>
                <w:sz w:val="28"/>
                <w:szCs w:val="28"/>
              </w:rPr>
            </w:pPr>
            <w:r>
              <w:rPr>
                <w:rFonts w:hint="eastAsia" w:ascii="仿宋" w:hAnsi="仿宋" w:eastAsia="仿宋"/>
                <w:kern w:val="0"/>
                <w:sz w:val="28"/>
                <w:szCs w:val="28"/>
              </w:rPr>
              <w:t>学生活动经费</w:t>
            </w:r>
          </w:p>
        </w:tc>
        <w:tc>
          <w:tcPr>
            <w:tcW w:w="809" w:type="dxa"/>
            <w:vAlign w:val="center"/>
          </w:tcPr>
          <w:p>
            <w:pPr>
              <w:spacing w:line="480" w:lineRule="exact"/>
              <w:ind w:firstLine="640"/>
              <w:rPr>
                <w:rFonts w:ascii="仿宋" w:hAnsi="仿宋" w:eastAsia="仿宋"/>
                <w:kern w:val="0"/>
                <w:sz w:val="28"/>
                <w:szCs w:val="28"/>
              </w:rPr>
            </w:pPr>
          </w:p>
        </w:tc>
        <w:tc>
          <w:tcPr>
            <w:tcW w:w="892" w:type="dxa"/>
            <w:vAlign w:val="center"/>
          </w:tcPr>
          <w:p>
            <w:pPr>
              <w:spacing w:line="480" w:lineRule="exact"/>
              <w:ind w:firstLine="640"/>
              <w:rPr>
                <w:rFonts w:ascii="仿宋" w:hAnsi="仿宋" w:eastAsia="仿宋"/>
                <w:kern w:val="0"/>
                <w:sz w:val="28"/>
                <w:szCs w:val="28"/>
              </w:rPr>
            </w:pPr>
          </w:p>
        </w:tc>
        <w:tc>
          <w:tcPr>
            <w:tcW w:w="567" w:type="dxa"/>
            <w:vAlign w:val="center"/>
          </w:tcPr>
          <w:p>
            <w:pPr>
              <w:spacing w:line="480" w:lineRule="exact"/>
              <w:ind w:firstLine="640"/>
              <w:rPr>
                <w:rFonts w:ascii="仿宋" w:hAnsi="仿宋" w:eastAsia="仿宋"/>
                <w:kern w:val="0"/>
                <w:sz w:val="28"/>
                <w:szCs w:val="28"/>
              </w:rPr>
            </w:pPr>
          </w:p>
        </w:tc>
        <w:tc>
          <w:tcPr>
            <w:tcW w:w="8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9"/>
              <w:rPr>
                <w:rFonts w:ascii="仿宋" w:hAnsi="仿宋" w:eastAsia="仿宋"/>
                <w:kern w:val="0"/>
                <w:sz w:val="28"/>
                <w:szCs w:val="28"/>
              </w:rPr>
            </w:pPr>
            <w:r>
              <w:rPr>
                <w:rFonts w:hint="eastAsia" w:ascii="仿宋" w:hAnsi="仿宋" w:eastAsia="仿宋"/>
                <w:kern w:val="0"/>
                <w:sz w:val="28"/>
                <w:szCs w:val="28"/>
              </w:rPr>
              <w:t>300</w:t>
            </w:r>
            <w:r>
              <w:rPr>
                <w:rFonts w:hint="eastAsia" w:ascii="仿宋" w:hAnsi="仿宋" w:eastAsia="仿宋"/>
                <w:snapToGrid w:val="0"/>
                <w:spacing w:val="-23"/>
                <w:w w:val="90"/>
                <w:kern w:val="0"/>
                <w:sz w:val="21"/>
                <w:szCs w:val="21"/>
                <w:lang w:eastAsia="zh-CN"/>
              </w:rPr>
              <w:t>（</w:t>
            </w:r>
            <w:r>
              <w:rPr>
                <w:rFonts w:hint="eastAsia" w:ascii="仿宋" w:hAnsi="仿宋" w:eastAsia="仿宋"/>
                <w:snapToGrid w:val="0"/>
                <w:spacing w:val="-23"/>
                <w:w w:val="90"/>
                <w:kern w:val="0"/>
                <w:sz w:val="21"/>
                <w:szCs w:val="21"/>
              </w:rPr>
              <w:t>2018年250万）</w:t>
            </w:r>
          </w:p>
        </w:tc>
        <w:tc>
          <w:tcPr>
            <w:tcW w:w="850" w:type="dxa"/>
            <w:vAlign w:val="center"/>
          </w:tcPr>
          <w:p>
            <w:pPr>
              <w:spacing w:line="480" w:lineRule="exact"/>
              <w:ind w:firstLine="640"/>
              <w:rPr>
                <w:rFonts w:ascii="仿宋" w:hAnsi="仿宋" w:eastAsia="仿宋"/>
                <w:kern w:val="0"/>
                <w:sz w:val="28"/>
                <w:szCs w:val="28"/>
              </w:rPr>
            </w:pPr>
          </w:p>
        </w:tc>
        <w:tc>
          <w:tcPr>
            <w:tcW w:w="567" w:type="dxa"/>
            <w:vAlign w:val="center"/>
          </w:tcPr>
          <w:p>
            <w:pPr>
              <w:spacing w:line="480" w:lineRule="exact"/>
              <w:ind w:firstLine="640"/>
              <w:rPr>
                <w:rFonts w:ascii="仿宋" w:hAnsi="仿宋" w:eastAsia="仿宋"/>
                <w:kern w:val="0"/>
                <w:sz w:val="28"/>
                <w:szCs w:val="28"/>
              </w:rPr>
            </w:pPr>
          </w:p>
        </w:tc>
        <w:tc>
          <w:tcPr>
            <w:tcW w:w="851"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350</w:t>
            </w:r>
          </w:p>
        </w:tc>
        <w:tc>
          <w:tcPr>
            <w:tcW w:w="850" w:type="dxa"/>
            <w:vAlign w:val="center"/>
          </w:tcPr>
          <w:p>
            <w:pPr>
              <w:spacing w:line="480" w:lineRule="exact"/>
              <w:ind w:firstLine="640"/>
              <w:rPr>
                <w:rFonts w:ascii="仿宋" w:hAnsi="仿宋" w:eastAsia="仿宋"/>
                <w:kern w:val="0"/>
                <w:sz w:val="28"/>
                <w:szCs w:val="28"/>
              </w:rPr>
            </w:pPr>
          </w:p>
        </w:tc>
        <w:tc>
          <w:tcPr>
            <w:tcW w:w="567" w:type="dxa"/>
            <w:vAlign w:val="center"/>
          </w:tcPr>
          <w:p>
            <w:pPr>
              <w:spacing w:line="480" w:lineRule="exact"/>
              <w:ind w:firstLine="640"/>
              <w:rPr>
                <w:rFonts w:ascii="仿宋" w:hAnsi="仿宋" w:eastAsia="仿宋"/>
                <w:kern w:val="0"/>
                <w:sz w:val="28"/>
                <w:szCs w:val="28"/>
              </w:rPr>
            </w:pPr>
          </w:p>
        </w:tc>
        <w:tc>
          <w:tcPr>
            <w:tcW w:w="824"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450"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总计</w:t>
            </w:r>
          </w:p>
        </w:tc>
        <w:tc>
          <w:tcPr>
            <w:tcW w:w="809" w:type="dxa"/>
            <w:vAlign w:val="center"/>
          </w:tcPr>
          <w:p>
            <w:pPr>
              <w:spacing w:line="480" w:lineRule="exact"/>
              <w:ind w:firstLine="640"/>
              <w:rPr>
                <w:rFonts w:ascii="仿宋" w:hAnsi="仿宋" w:eastAsia="仿宋"/>
                <w:kern w:val="0"/>
                <w:sz w:val="28"/>
                <w:szCs w:val="28"/>
              </w:rPr>
            </w:pPr>
          </w:p>
        </w:tc>
        <w:tc>
          <w:tcPr>
            <w:tcW w:w="892" w:type="dxa"/>
            <w:vAlign w:val="center"/>
          </w:tcPr>
          <w:p>
            <w:pPr>
              <w:spacing w:line="480" w:lineRule="exact"/>
              <w:ind w:firstLine="640"/>
              <w:rPr>
                <w:rFonts w:ascii="仿宋" w:hAnsi="仿宋" w:eastAsia="仿宋"/>
                <w:kern w:val="0"/>
                <w:sz w:val="28"/>
                <w:szCs w:val="28"/>
              </w:rPr>
            </w:pPr>
          </w:p>
        </w:tc>
        <w:tc>
          <w:tcPr>
            <w:tcW w:w="567" w:type="dxa"/>
            <w:vAlign w:val="center"/>
          </w:tcPr>
          <w:p>
            <w:pPr>
              <w:spacing w:line="480" w:lineRule="exact"/>
              <w:ind w:firstLine="640"/>
              <w:rPr>
                <w:rFonts w:ascii="仿宋" w:hAnsi="仿宋" w:eastAsia="仿宋"/>
                <w:kern w:val="0"/>
                <w:sz w:val="28"/>
                <w:szCs w:val="28"/>
              </w:rPr>
            </w:pPr>
          </w:p>
        </w:tc>
        <w:tc>
          <w:tcPr>
            <w:tcW w:w="851"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400</w:t>
            </w:r>
          </w:p>
        </w:tc>
        <w:tc>
          <w:tcPr>
            <w:tcW w:w="850"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300</w:t>
            </w:r>
          </w:p>
        </w:tc>
        <w:tc>
          <w:tcPr>
            <w:tcW w:w="567" w:type="dxa"/>
            <w:vAlign w:val="center"/>
          </w:tcPr>
          <w:p>
            <w:pPr>
              <w:spacing w:line="480" w:lineRule="exact"/>
              <w:ind w:firstLine="640"/>
              <w:rPr>
                <w:rFonts w:ascii="仿宋" w:hAnsi="仿宋" w:eastAsia="仿宋"/>
                <w:kern w:val="0"/>
                <w:sz w:val="28"/>
                <w:szCs w:val="28"/>
              </w:rPr>
            </w:pPr>
          </w:p>
        </w:tc>
        <w:tc>
          <w:tcPr>
            <w:tcW w:w="851"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450</w:t>
            </w:r>
          </w:p>
        </w:tc>
        <w:tc>
          <w:tcPr>
            <w:tcW w:w="850" w:type="dxa"/>
            <w:vAlign w:val="center"/>
          </w:tcPr>
          <w:p>
            <w:pPr>
              <w:spacing w:line="480" w:lineRule="exact"/>
              <w:ind w:firstLine="640"/>
              <w:rPr>
                <w:rFonts w:ascii="仿宋" w:hAnsi="仿宋" w:eastAsia="仿宋"/>
                <w:kern w:val="0"/>
                <w:sz w:val="28"/>
                <w:szCs w:val="28"/>
              </w:rPr>
            </w:pPr>
          </w:p>
        </w:tc>
        <w:tc>
          <w:tcPr>
            <w:tcW w:w="567" w:type="dxa"/>
            <w:vAlign w:val="center"/>
          </w:tcPr>
          <w:p>
            <w:pPr>
              <w:spacing w:line="480" w:lineRule="exact"/>
              <w:ind w:firstLine="640"/>
              <w:rPr>
                <w:rFonts w:ascii="仿宋" w:hAnsi="仿宋" w:eastAsia="仿宋"/>
                <w:kern w:val="0"/>
                <w:sz w:val="28"/>
                <w:szCs w:val="28"/>
              </w:rPr>
            </w:pPr>
          </w:p>
        </w:tc>
        <w:tc>
          <w:tcPr>
            <w:tcW w:w="824" w:type="dxa"/>
            <w:vAlign w:val="center"/>
          </w:tcPr>
          <w:p>
            <w:pPr>
              <w:spacing w:line="480" w:lineRule="exact"/>
              <w:rPr>
                <w:rFonts w:ascii="仿宋" w:hAnsi="仿宋" w:eastAsia="仿宋"/>
                <w:kern w:val="0"/>
                <w:sz w:val="28"/>
                <w:szCs w:val="28"/>
              </w:rPr>
            </w:pPr>
            <w:r>
              <w:rPr>
                <w:rFonts w:hint="eastAsia" w:ascii="仿宋" w:hAnsi="仿宋" w:eastAsia="仿宋"/>
                <w:kern w:val="0"/>
                <w:sz w:val="28"/>
                <w:szCs w:val="28"/>
              </w:rPr>
              <w:t>1150</w:t>
            </w:r>
          </w:p>
        </w:tc>
      </w:tr>
    </w:tbl>
    <w:p>
      <w:pPr>
        <w:snapToGrid w:val="0"/>
        <w:spacing w:line="480" w:lineRule="exact"/>
        <w:rPr>
          <w:rFonts w:ascii="仿宋_GB2312" w:eastAsia="仿宋_GB2312"/>
          <w:color w:val="FF0000"/>
          <w:sz w:val="28"/>
          <w:szCs w:val="28"/>
        </w:rPr>
      </w:pPr>
    </w:p>
    <w:sectPr>
      <w:footerReference r:id="rId3" w:type="default"/>
      <w:pgSz w:w="11906" w:h="16838"/>
      <w:pgMar w:top="2098"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 w:hAnsi="仿宋" w:eastAsia="仿宋"/>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E4"/>
    <w:rsid w:val="0005619D"/>
    <w:rsid w:val="00065D10"/>
    <w:rsid w:val="000C3D8B"/>
    <w:rsid w:val="000D4554"/>
    <w:rsid w:val="000E37A3"/>
    <w:rsid w:val="000F7F5E"/>
    <w:rsid w:val="001B1B6C"/>
    <w:rsid w:val="001E13DF"/>
    <w:rsid w:val="001E5E06"/>
    <w:rsid w:val="002250DA"/>
    <w:rsid w:val="002554BC"/>
    <w:rsid w:val="002C01C9"/>
    <w:rsid w:val="003D7C3E"/>
    <w:rsid w:val="00413D2A"/>
    <w:rsid w:val="004C40EF"/>
    <w:rsid w:val="0051112F"/>
    <w:rsid w:val="005958A3"/>
    <w:rsid w:val="0060366F"/>
    <w:rsid w:val="00603EDF"/>
    <w:rsid w:val="00612F31"/>
    <w:rsid w:val="00656867"/>
    <w:rsid w:val="006804E4"/>
    <w:rsid w:val="006910C6"/>
    <w:rsid w:val="006943B8"/>
    <w:rsid w:val="006E1AD9"/>
    <w:rsid w:val="00742068"/>
    <w:rsid w:val="00766E70"/>
    <w:rsid w:val="00797F6A"/>
    <w:rsid w:val="007D56EA"/>
    <w:rsid w:val="00844826"/>
    <w:rsid w:val="00966C33"/>
    <w:rsid w:val="0097570C"/>
    <w:rsid w:val="009908D5"/>
    <w:rsid w:val="009B6100"/>
    <w:rsid w:val="00A12445"/>
    <w:rsid w:val="00A13363"/>
    <w:rsid w:val="00A2058C"/>
    <w:rsid w:val="00A40D49"/>
    <w:rsid w:val="00A4600F"/>
    <w:rsid w:val="00A73928"/>
    <w:rsid w:val="00AA47A4"/>
    <w:rsid w:val="00AC397A"/>
    <w:rsid w:val="00AC4EAA"/>
    <w:rsid w:val="00AE386E"/>
    <w:rsid w:val="00B026DC"/>
    <w:rsid w:val="00BE5413"/>
    <w:rsid w:val="00BE7112"/>
    <w:rsid w:val="00C967B9"/>
    <w:rsid w:val="00CA45A0"/>
    <w:rsid w:val="00CF1961"/>
    <w:rsid w:val="00D32A7E"/>
    <w:rsid w:val="00DC29A0"/>
    <w:rsid w:val="00E17834"/>
    <w:rsid w:val="00E33424"/>
    <w:rsid w:val="00EA2879"/>
    <w:rsid w:val="00EA53D7"/>
    <w:rsid w:val="00EF3F19"/>
    <w:rsid w:val="00F022F0"/>
    <w:rsid w:val="00F02826"/>
    <w:rsid w:val="00F17805"/>
    <w:rsid w:val="00FF406E"/>
    <w:rsid w:val="00FF5884"/>
    <w:rsid w:val="02E50EF3"/>
    <w:rsid w:val="2C9E30F9"/>
    <w:rsid w:val="4FA62AD1"/>
    <w:rsid w:val="5CE54FD0"/>
    <w:rsid w:val="687A49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标题 1 Char"/>
    <w:basedOn w:val="5"/>
    <w:link w:val="2"/>
    <w:qFormat/>
    <w:uiPriority w:val="9"/>
    <w:rPr>
      <w:rFonts w:ascii="Times New Roman" w:hAnsi="Times New Roman" w:eastAsia="宋体" w:cs="Times New Roman"/>
      <w:b/>
      <w:bCs/>
      <w:kern w:val="44"/>
      <w:sz w:val="44"/>
      <w:szCs w:val="44"/>
    </w:rPr>
  </w:style>
  <w:style w:type="character" w:customStyle="1" w:styleId="10">
    <w:name w:val="无"/>
    <w:qFormat/>
    <w:uiPriority w:val="0"/>
  </w:style>
  <w:style w:type="character" w:customStyle="1" w:styleId="11">
    <w:name w:val="Hyperlink.0"/>
    <w:basedOn w:val="10"/>
    <w:qFormat/>
    <w:uiPriority w:val="0"/>
    <w:rPr>
      <w:rFonts w:ascii="华文仿宋" w:hAnsi="华文仿宋" w:eastAsia="华文仿宋" w:cs="华文仿宋"/>
      <w:sz w:val="32"/>
      <w:szCs w:val="32"/>
      <w:lang w:val="zh-TW" w:eastAsia="zh-TW"/>
    </w:rPr>
  </w:style>
  <w:style w:type="paragraph" w:styleId="12">
    <w:name w:val="List Paragraph"/>
    <w:qFormat/>
    <w:uiPriority w:val="0"/>
    <w:pPr>
      <w:widowControl w:val="0"/>
      <w:ind w:firstLine="420"/>
      <w:jc w:val="both"/>
    </w:pPr>
    <w:rPr>
      <w:rFonts w:ascii="Calibri" w:hAnsi="Calibri" w:eastAsia="Arial Unicode MS" w:cs="Arial Unicode MS"/>
      <w:color w:val="000000"/>
      <w:kern w:val="2"/>
      <w:sz w:val="21"/>
      <w:szCs w:val="21"/>
      <w:u w:color="000000"/>
      <w:lang w:val="en-US" w:eastAsia="zh-CN" w:bidi="ar-SA"/>
    </w:rPr>
  </w:style>
  <w:style w:type="table" w:customStyle="1" w:styleId="13">
    <w:name w:val="Table Normal"/>
    <w:qFormat/>
    <w:uiPriority w:val="0"/>
    <w:rPr>
      <w:rFonts w:ascii="Times New Roman" w:hAnsi="Times New Roman" w:eastAsia="Arial Unicode MS" w:cs="Times New Roman"/>
      <w:kern w:val="0"/>
      <w:sz w:val="20"/>
      <w:szCs w:val="20"/>
    </w:rPr>
    <w:tblPr>
      <w:tblLayout w:type="fixed"/>
      <w:tblCellMar>
        <w:top w:w="0" w:type="dxa"/>
        <w:left w:w="0" w:type="dxa"/>
        <w:bottom w:w="0" w:type="dxa"/>
        <w:right w:w="0" w:type="dxa"/>
      </w:tblCellMar>
    </w:tblPr>
  </w:style>
  <w:style w:type="table" w:customStyle="1" w:styleId="14">
    <w:name w:val="网格型3"/>
    <w:basedOn w:val="6"/>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420D3-8A9B-41C6-B3ED-180E52572F1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1749</Words>
  <Characters>9973</Characters>
  <Lines>83</Lines>
  <Paragraphs>23</Paragraphs>
  <TotalTime>15</TotalTime>
  <ScaleCrop>false</ScaleCrop>
  <LinksUpToDate>false</LinksUpToDate>
  <CharactersWithSpaces>11699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2018-11-14T03:14:00Z</dcterms:created>
  <dc:creator>微软用户</dc:creator>
  <cp:lastModifiedBy>薇薇-小屁猴</cp:lastModifiedBy>
  <dcterms:modified xsi:type="dcterms:W3CDTF">2018-11-16T06:37:06Z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